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09"/>
        <w:ind w:right="0"/>
        <w:jc w:val="right"/>
        <w:keepNext/>
        <w:widowControl w:val="off"/>
        <w:rPr>
          <w:highlight w:val="white"/>
        </w:rPr>
      </w:pPr>
      <w:r>
        <w:rPr>
          <w:i/>
          <w:sz w:val="16"/>
          <w:szCs w:val="16"/>
          <w:highlight w:val="white"/>
        </w:rPr>
        <w:t xml:space="preserve">    </w:t>
      </w:r>
      <w:r>
        <w:rPr>
          <w:b w:val="0"/>
          <w:i/>
          <w:sz w:val="16"/>
          <w:szCs w:val="16"/>
          <w:highlight w:val="white"/>
        </w:rPr>
        <w:t xml:space="preserve">«Для потребителей, приравненных к населению»</w:t>
      </w:r>
      <w:r>
        <w:rPr>
          <w:highlight w:val="white"/>
        </w:rPr>
      </w:r>
      <w:r>
        <w:rPr>
          <w:highlight w:val="white"/>
        </w:rPr>
      </w:r>
    </w:p>
    <w:p>
      <w:pPr>
        <w:pStyle w:val="1009"/>
        <w:ind w:right="0"/>
        <w:keepNext/>
        <w:widowControl w:val="off"/>
        <w:rPr>
          <w:b w:val="0"/>
          <w:i/>
          <w:highlight w:val="white"/>
        </w:rPr>
      </w:pPr>
      <w:r>
        <w:rPr>
          <w:b w:val="0"/>
          <w:i/>
          <w:highlight w:val="white"/>
        </w:rPr>
      </w:r>
      <w:r>
        <w:rPr>
          <w:b w:val="0"/>
          <w:i/>
          <w:highlight w:val="white"/>
        </w:rPr>
      </w:r>
      <w:r>
        <w:rPr>
          <w:b w:val="0"/>
          <w:i/>
          <w:highlight w:val="white"/>
        </w:rPr>
      </w:r>
    </w:p>
    <w:p>
      <w:pPr>
        <w:pStyle w:val="1009"/>
        <w:ind w:right="0"/>
        <w:keepNext/>
        <w:widowControl w:val="off"/>
        <w:rPr>
          <w:highlight w:val="white"/>
        </w:rPr>
      </w:pPr>
      <w:r>
        <w:rPr>
          <w:sz w:val="24"/>
          <w:szCs w:val="24"/>
          <w:highlight w:val="white"/>
        </w:rPr>
        <w:t xml:space="preserve">ДОГОВОР ЭНЕРГОСНАБЖЕНИЯ</w:t>
      </w:r>
      <w:r>
        <w:rPr>
          <w:highlight w:val="white"/>
        </w:rPr>
      </w:r>
      <w:r>
        <w:rPr>
          <w:highlight w:val="white"/>
        </w:rPr>
      </w:r>
    </w:p>
    <w:p>
      <w:pPr>
        <w:pStyle w:val="1009"/>
        <w:ind w:right="0"/>
        <w:keepNext/>
        <w:widowControl w:val="off"/>
        <w:rPr>
          <w:highlight w:val="white"/>
        </w:rPr>
      </w:pPr>
      <w:r>
        <w:rPr>
          <w:highlight w:val="white"/>
        </w:rPr>
        <w:t xml:space="preserve">№ ________________</w:t>
        <w:tab/>
        <w:t xml:space="preserve">от «___»____________202__ г.</w:t>
      </w:r>
      <w:r>
        <w:rPr>
          <w:highlight w:val="white"/>
        </w:rPr>
      </w:r>
      <w:r>
        <w:rPr>
          <w:highlight w:val="white"/>
        </w:rPr>
      </w:r>
    </w:p>
    <w:p>
      <w:pPr>
        <w:pStyle w:val="1009"/>
        <w:ind w:right="0"/>
        <w:keepNext/>
        <w:widowControl w:val="off"/>
        <w:rPr>
          <w:sz w:val="16"/>
          <w:szCs w:val="16"/>
          <w:highlight w:val="white"/>
        </w:rPr>
      </w:pPr>
      <w:r>
        <w:rPr>
          <w:sz w:val="16"/>
          <w:szCs w:val="16"/>
          <w:highlight w:val="white"/>
        </w:rPr>
      </w:r>
      <w:r>
        <w:rPr>
          <w:sz w:val="16"/>
          <w:szCs w:val="16"/>
          <w:highlight w:val="white"/>
        </w:rPr>
      </w:r>
      <w:r>
        <w:rPr>
          <w:sz w:val="16"/>
          <w:szCs w:val="16"/>
          <w:highlight w:val="white"/>
        </w:rPr>
      </w:r>
    </w:p>
    <w:p>
      <w:pPr>
        <w:pStyle w:val="929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Публичное акционерное общество «Саратовэнерго» (имеющее статус Гарантирующего поставщика), именуемое в дальнейшем «Поставщик», в лице________________________________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____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_____________________________________________________________ ___________________________________________________________, действующего на основании ________________, с одной стороны, и _____________________________________________________________________,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именуемый(-ое) в дальнейшем «Потребитель» в лице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7"/>
        <w:ind w:left="720" w:right="0" w:firstLine="720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  <w:vertAlign w:val="superscript"/>
        </w:rPr>
        <w:t xml:space="preserve">(полное наименование Потребителя)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_______________________________________________, действующего на основании ____________, с другой стороны, а при совместном упоминании «стороны», заключили настоящий договор, о нижеследующем: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8"/>
        </w:numPr>
        <w:ind w:left="0" w:firstLine="284"/>
        <w:jc w:val="center"/>
        <w:keepNext/>
        <w:spacing w:before="240"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  <w:outlineLvl w:val="0"/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Предмет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2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Поставщик осуществляет продажу потребителю электрической энергии (мощности), урегулирует </w:t>
      </w:r>
      <w:r>
        <w:rPr>
          <w:rFonts w:ascii="Liberation Serif" w:hAnsi="Liberation Serif" w:cs="Liberation Serif"/>
          <w:sz w:val="18"/>
          <w:szCs w:val="18"/>
          <w:highlight w:val="white"/>
          <w:lang w:val="en-US"/>
        </w:rPr>
        <w:t xml:space="preserve">c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системообразующей территориальной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сетевой организацией отношения по оказанию услуг по передаче электрической энергии до точек поставки потребителя, оказывает иные услуги, оказание которых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является неотъемлемой частью процесса поставки электрической энергии потребителю, а потребитель оплачивает приобретаемую электрическую энергию (мощность) и оказанные услуги, в соответствии с условиями настоящего договора и действующего законодательства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2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исполнении настоящего договора стороны договорились руководствоваться действующим законодательством РФ, решениями органов исполнительной власти, уполномоченных в области г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осударственного регулирования тарифов, другими действующими нормативными и правовыми актами Российской Федерации, соблюдать требования оперативно-технологического (диспетчерского) управления процессом передачи, приема и распределения электрической энергии.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2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вступления в силу после заключения настоящего дого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вора законов или иных нормативно-правовых актов, устанавливающих иные правила деятельности сторон или исполнения публичных договоров, установленные такими документами новые нормы обязательны для исполнения сторонами с момента их вступления в законную силу.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left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jc w:val="center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2.   Обязанности и права сторон.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2.1. Поставщик обязуется: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9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Осуществлять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продажу потребителю электрической энергии (мощност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), качество которой должно соответствовать требованиям законодательства РФ (в том числе ГОСТ 32144-2013) в необходимом ему объеме согласно Приложению № 1 к настоящему договору, не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превышающему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величину максимальной мощности и в соответствии с категорией надежности по точкам поставки потребителя (энергоснабжаемые объекты потребителя),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определенной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Приложени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№ 5 к настоящему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9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Заключать в интересах потребителя с системообразующей территориальной сетевой организацией, указанной в Приложении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 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№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 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5 к договору, договор на оказание услуг по передаче электрической энергии, а также урегулировать отношения с субъектами электроэнергетики, оказывающими иные услуги, неразрывно связанные с процессом снабж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ения электрической энергией. В свою очередь, системообразующая территориальная сетевая организация, при необходимости, самостоятельно заключает соответствующие договоры, на основании которых ей оказывают услуги по передаче электрической энергии (мощности)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организация по управлению единой (национальной) общероссийской электрической сетью и (или) территориально сетевые организации, владеющие объектами электросетевого хозяйства, использование которых необходимо для передачи электрической энергии (мощности) пот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ребителю. В рамках настоящего договора сетевой организацией является организация, владеющая объектами электросетевого хозяйства с использованием которых осуществляется передача электрической энергии потребителю, согласно Приложению №5 к настоящему договору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9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реорганизации, изменения форм собственности, банковских реквизитов, почтового и юридического адреса, адреса веб-сайта, электронной почты, поставщик обязан уведом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лять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об этом потребителя в срок не позднее 5 рабочих дней с момента произошедших изменений.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9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Уведомлять потребителя об утвержденных графиках аварийного ограничения режима потребления энергии (мощности) путем их размещения не позднее, чем за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15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рабочих с даты их получения от сетевой организации, на официальном сайте поставщика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"http://www.saratovenergo.ru/"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www.saratovenergo.ru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в сети «Интернет».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9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Обеспечи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ть осуществление действий, необходимых для реализации прав потребителя, предусмотренных условиями наст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оящего договора и требованиями Основных положений функционирования розничных рынков электрической энергии, утверждённых постановлением Правительства РФ от 04.05.2012 №442 (далее – Основные положения функционирования розничных рынков электрической энергии).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143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2.2. Поставщик имеет право: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143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2.2.1. В связи с наступлением обстоятельств, указанных в Правилах полного и (или) частичного ограничения режима потребления электрической энергии, утверждённых Постановлением Правительства РФ от 04.05.2012 №442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(далее - Правила полного и (или) частичного ограничения режима потребления электрической энергии)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инициировать в установленном порядке введение полного и (или) частичного ограничения режима потребления потребителем электрической энергии.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143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2.2.2. Поставщик вправе в одностороннем порядке отказат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ься от исполнения договора в случаях и порядке предусмотренным действующим законодательством РФ, уведомив об этом потребителя об этом за 10 рабочих дней до заявляемой им даты отказа от до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говора, способом, позволяющим подтвердить факт получения уведомления.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keepNext/>
        <w:widowControl w:val="off"/>
        <w:tabs>
          <w:tab w:val="left" w:pos="993" w:leader="none"/>
          <w:tab w:val="left" w:pos="1276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highlight w:val="white"/>
        </w:rPr>
      </w:r>
      <w:bookmarkStart w:id="0" w:name="YANDEX_98"/>
      <w:r>
        <w:rPr>
          <w:highlight w:val="white"/>
        </w:rPr>
      </w:r>
      <w:bookmarkEnd w:id="0"/>
      <w:r>
        <w:rPr>
          <w:rFonts w:ascii="Liberation Serif" w:hAnsi="Liberation Serif" w:cs="Liberation Serif"/>
          <w:b/>
          <w:color w:val="000000"/>
          <w:sz w:val="18"/>
          <w:szCs w:val="18"/>
          <w:highlight w:val="white"/>
        </w:rPr>
        <w:t xml:space="preserve">2.3. Потребитель обязуется: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993" w:leader="none"/>
          <w:tab w:val="left" w:pos="1276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2.3.1.</w:t>
      </w:r>
      <w:r>
        <w:rPr>
          <w:rFonts w:ascii="Liberation Serif" w:hAnsi="Liberation Serif" w:cs="Liberation Serif"/>
          <w:b/>
          <w:color w:val="000000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Своевременно 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роизводить оплату платёжных документов, выставленных поставщиком в сроки и порядке, установленные настоящим договором.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993" w:leader="none"/>
          <w:tab w:val="left" w:pos="1276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2.3.2.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Самостоятельно урегулировать с сетевой организацией, с предоставлением поставщику необходимой технической документации, вопросы взаимодействия в части: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0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надлежащего оформления технологического присоединения (в том числе и опосредованно) энергопринимающих устройств потребителя в установленном порядке к объектам электросетевого хозяйства сетевой организации;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0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информирования об аварийных ситуациях в своих электроустановках и сроках их ремонта;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0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своего участия в реализации графиков аварийного ограничения режима потребления электрической энергии и использования противоаварийной автоматики;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0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оперативно-технологического взаимодействия и эксплуатации принадлежащих потребителю энергопринимающих устройств, в соответствии с правилами технической эксплуатации, техники безопасности и оперативно-диспетчерского управления.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left" w:pos="28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Обеспечивать сохранность и целостность приборов учета и иного оборудования, используемых для обеспечения учета энергии (мощности), а также пломб и (или) знаков 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изуального контроля, установленных в границах балансовой принадлежности энергопринимающих устройств потребителя (в границах земельного участка, внутри помещения потребителя), по перечню средств и оборудования, согласно Приложению №3 к настоящему договору.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left" w:pos="28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Обеспечить допуск поставщика и (или) сетевой организации к необходимой технической документации и оборудованию потребителя, для контроля над соблюдением установленных режимов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электропотребления, технического состояния, условий эксплуатации, проверки правильности работы и замены (установки) приборов учета, проведения измерений и снятию показаний приборов учета, в случаях и порядке установленных действующим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left" w:pos="28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случае, если потребитель является лицом, ответственным за снятие показаний расчетных приборов учета, предоставлять поставщику показания расчетных приборов учета по установленной форме (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"прил_10_1"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7 к настоящему договору)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редоставлять данные по приборам учета, фиксирующим потребление электрической энергии в нежилых помещениях многоквартирных жилых домов или объектах, технологически присоединённым к сетям жилого дома – ежемесячно, 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 позднее 25-го числа расчетного (оплачиваемого) месяца, в отношении иных приборов учета до окончания 1-го дня месяца, следующего за расчетным периодом, на адрес электронной почты поставщика, через официальный сайт поставщика в разделе «Личный кабинет» ука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занные в п.11.1., в виде электронного документа, подписанного электронной подписью, или любым способом, позволяющим подтвердить факт и дату получения показаний поставщиком, также в письменной форме в виде оригинала «Акта снятия показаний приборов учета», (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"прил_10_1"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7 к настоящему договору) в течение 3 рабочих дней.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присоединении приборов учёта потребителя и субабонентов потребителя к интеллектуальным системам учета электрической энергии (мощности) сетевой организации или поставщика объём фактического потребления электрическ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ой энергии (мощности) по данным присоединениям формируется на основании данных системы учёта полученных поставщиком самостоятельно, при условии отсутствия зафиксированных фактов неисправности приборов учёта и (или) наличия следов вмешательства в их работу.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Представлять в течении 7 рабочих дней после заключения Договора список лиц, имеющих право ведения оперативных переговоров, подписания ежемесячных актов снятия показаний расчетных приборов учета и иных актов. Список должен содержать должности и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ФИО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уполномоченных лиц, и их рабочие телефоны. Потребитель обязуется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течении 2 рабочих дней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извещать поставщика об измен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ении данных, указанных в настоящем пункте. </w:t>
      </w:r>
      <w:bookmarkStart w:id="2" w:name="п_2_3_8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Потребитель, имеющий намерение в соответствии с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"п_2_4_3"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п. 2.4.3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или </w:t>
      </w:r>
      <w:bookmarkEnd w:id="2"/>
      <w:r>
        <w:rPr>
          <w:highlight w:val="white"/>
        </w:rPr>
      </w:r>
      <w:bookmarkStart w:id="3" w:name="п_2_4_5"/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"п_2_4_5"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п. 2.4.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4 Договора в одностороннем порядке отказаться от исполнения Договора полностью или уменьшить объемы энергии (мощности),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приобретаемые по Договору, обязан передать поставщику письменное уведомление об этом не позднее, чем за 20 рабочих дней до заявляемой им даты расторжения или изменения Договора способом, позволяющим подтвердить факт и дату получения указанного уведомления.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нарушении Потребителем требования настоящего пункта об уведомлении поставщика в установленные сроки и (или) при нарушении им требования о выполнении условий, предусмотренных пунктами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"п_2_4_3"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п. 2.4.3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или 2.4.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"п_2_4_5"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4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настоящего Договора, определенные настоящим Договором обязательства Потребителя и поставщика сохраняются в неизменном виде вплоть до момента надлежащего вы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полнения указанных требований.</w:t>
      </w:r>
      <w:bookmarkEnd w:id="3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Обеспечи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ть функционирование и реализацию управляющих воздействий устройств релейной защиты, противоаварийной и режимной автоматики, средств регулирования напряжения и компенсации реактивной мощн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ости, установленных в границах балансовой принадлежности потребителя в соответствии с Правилами технологического присоединения или Правилами недискриминационного доступа к услугам по передаче электрической энергии и оказания этих услуг. Потребитель обязан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обеспечить своевременное выполнение диспетчерских команд (распоряжений) субъекта оперативно-диспетчерского управления в электроэнергетике и соответствующих требований сетевой организации, а также нести ответственность за несоблюдение указанной обязанности.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Поддерживать на границе балансовой принадлежности значения показателей качества электрической энергии, обусловленные работой энергопринимающих устройств потребителя, соответствующие требованиям, предъявляемым ГОСТ 32144-2013 по точки поставки, указанным в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"прил_4"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Приложениях №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 и №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"прил_7"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5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к настоящему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реорганизации, изменения форм собственности, смене собственника или иного законного владельца, точек поставки электрической энергии по данному договору, изменения пер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ечня субабонентов, банковских реквизитов, почтового и юридического адреса, адреса веб-сайта, электронной почты, контактных телефонов, факса, потребитель обязан уведомить об этом поставщика в срок не позднее 5 рабочих дней с момента произошедших изменений.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получении от поставщика уведомления о вводе режима ограничения электропотребления электрической энергии (мощности) потребитель обязан незамедлительно уведомить об этом субабонентов, указанных в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"прил_4"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 к настоящему договору,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и предп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ринять все необходимые действия для обеспечения бесперебойной поставки им электрической энергии. Потребитель несёт ответственность за невыполнение таких действий, в том числе за убытки субабонентов, возникшие вследствие невыполнения таких действий.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num" w:pos="0" w:leader="none"/>
          <w:tab w:val="clear" w:pos="142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 письменному требованию поставщика вводить режим частичного или полного ограничения потребления электрической энергии (мощности) субабонентам, указанным в Приложении №2 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настоящему договору. В случае неисполнения потребителем требований данного пункта договора, объём потреблённой субабонентом электрической энергии (мощности), в отношении 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оторого вводится режим частичного или полного ограничения потребления электрической энергии, с момента планируемого ограничения и до момента его отмены поставщиком, будет учитываться как собственное потребление электрической энергии (мощности) потребителя.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num" w:pos="0" w:leader="none"/>
          <w:tab w:val="clear" w:pos="142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обнаружении Потребителем, являющимся собственником энергопринимающих устрой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ств, в границах балансовой принадлежности которых установлен расчетный прибор учета, принадлежащий сетевой организации, поставщику или другому лицу, при выявлении фактов его неисправности или утраты обязан в течение одних суток сообщить об этом поставщику.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num" w:pos="0" w:leader="none"/>
          <w:tab w:val="clear" w:pos="142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Потребитель в соответствии с Федеральным законом «О персональных данных» от 27.07.2006г. № 152-ФЗ своей волей и в своем интересе вы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ражает Поставщику, зарегистрированному по адресу: Российская Федерация, Саратовская область, г. о. город Сар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атов, г. Саратов, ул. им. Мичурина И.В., д. 166/168 , своё согласие на обработку персональных данных, согласно Приложению № 6 к настоящему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left="284" w:right="-1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2.4. Потребитель имеет право: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4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Заявлять поставщику об ош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ибках, обнаруженных в расчётном документе. Подача заявления об ошибке в расчётном документе не освобождает потребителя от обязанности принять и оплатить в установленный срок расчётный документ в неоспариваемой части.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4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одностороннем порядке отказаться от исполнения Договора полностью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при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соблюдени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условий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предусмотренн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ых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п.2.3.7.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Договора,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а также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пр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 условии оплаты поставщику не позднее, чем за 10 рабочих дней до заявляемой Потребителем даты расторжения Договора стоимости потребленной энергии (мощности), что должно быть подтверждено оплатой счета, выставляемого поставщиком в порядке, предусмотренном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Основными положениями функционирования розничных рынков электрической энергии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bookmarkStart w:id="5" w:name="п_2_4_3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4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одностороннем порядке уменьшить объемы энергии (м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ощности), приобретаемые у поставщика, путем приобретения части объемов энергии (мощности) по договору, обеспечивающему продажу энергии (мощности), заключенному с производителем электрической энергии (мощности) на розничном рынке в порядке, предусмотренном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Основными положениями функционирования ро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зничных рынков электрической энергии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п.2.3.7.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Договора.</w:t>
      </w:r>
      <w:bookmarkEnd w:id="5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4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 даты утраты поставщиком его статуса перейти на обслуживание к организации, которой присвоен статус гарантирующего поставщика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 энергосбытовой (энергоснабжающей) организации или производителю энергии (мощности) на розничном рынке.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2.4.6.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имеют иные права и обязанности, а также несут иную ответственность, предусмотренные Договором и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firstLine="284"/>
        <w:jc w:val="center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3.  Учет потребления электрической энергии (мощности).</w:t>
      </w:r>
      <w:bookmarkStart w:id="6" w:name="_Ref172880105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3.1. Определение объема потребления (производства) электрической энергии (мощности), а также оказанных услуг по передаче электрической энергии осуществляется на основании: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показаний приборов учета, в том числе включенных в состав измерительных комплексов, систем учета и приб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оров учета электрической энергии, присоединенных к интеллектуальным системам учета электрической энергии (мощности), и интеллектуальных систем учета электрической энергии (мощности), находящихся по адресам, указанным в Приложении № 3 к настоящему договору;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б)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при отсутствии актуальных пок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азаний или непригодности к расчетам приборов учета, измерительных комплексов - на основании расчетных способов, которые определяются замещающей информацией или иными расчетными способами, предусмотренных действующим законодательством Российской Федерации.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Сетев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ая организация обеспечивает коммерческий учет электрической энергии (мощности) в том числе замену, допуск в эксплуатацию приборов учета и (или) иного оборудования, а также нематериальных активов, которые необходимы для обеспечения коммерческого учета элект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рической энергии (мощности), и последующую их эксплуатацию, в том числе посредством интеллектуальных систем учета электрической энергии (мощности) в отношении непосредственно или опосредованно присоединенных к принадлежащим им на праве собственности или ин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ом законном основании объектам электросетевого хозяйства, энергопринимающих устройств потребителей электрической энергии (мощности), за исключением случаев, когда соответствующие обязанности возложены законодательством РФ об электроэнергетике на иное лицо.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Тех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нические данные приборов учета (измерительных комплексов), их балансовая принадлежность, а также сведения о юридическом(их) лице(ах), ответственном(ых) в соответствии с законодательством РФ об электроэнергетике за эксплуатацию приборов учета, содержатся в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"прил_5"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 к настоящему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тевая организация в случае неисполнения или ненадлежащего исполнения указанных обязанностей по установке, замене и допуску в эксплуатацию прибора учета несет ответственность, предусмотренную действующим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Собственники приборов учета и (или) иного оборудования, используемых для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обеспечения коммерческого учета электрической энергии (мощности), а также собственники (владельцы) и (или) пользователи объектов, на которых установлены такие приборы учета и (или) иное оборудование, не вправе по своему усмотрению демонтировать приборы уч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ета и (или) иное оборудование, ограничивать к ним доступ, вмешиваться в процесс удаленного сбора, обработки и передачи показаний приборов учета (измерительных трансформаторов), в любой иной форме препятствовать их использованию для обеспечения и осуществле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ния контроля коммерческого учета электрической энергии (мощности), в том числе препятствовать проведению проверок целостности и корректности их работы, использованию для этих целей данных, получаемых с принадлежащих им приборов учета электрической энергии.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Обязанность по обеспечению сохранности и целостности прибора учета 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(или) иного оборудования, используемых для обеспечения коммерческого учета электрической энергии (мощности), а также пломб и (или) знаков визуального контроля возлагается на собственника (владельца) энергопринимающих устройств, объектов по производству эл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ектрической энергии (мощности), объектов электросетевого хозяйства, в границах балансовой принадлежности которых установлены приборы учета и (или) иное оборудование, которое используется для обеспечения коммерческого учета электрической энергии (мощности).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Указанные лица в соответствии с законодательством Российской Федерации обязаны возместить сетевой организации (поставщику) убытки, причиненные неисполнением или ненад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лежащим исполнением обязанностей по обеспечению сохранности и целостности установленных сетевой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4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Порядок установки (замены) и допуска установленного прибора учета в эксплуатацию лицом, обязанным осуществлять такие действия в соответствии с законодательством РФ об электроэнергетике, в том числе порядок действий Потребителя и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оставщика в рамках указанных процедур, по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рядок сообщения о выходе прибора учета (измерительного комплекса, измерительных трансформаторов) из строя и его (их) утрате установлены Основными положениями функционирования розничных рынков электрической энергии и иными нормативными правовыми актами РФ.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3.5.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Объём принятой и подлежащей оплате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отребителем электрической энергии (мощности) определяется без учёта объёмов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требления электрической энергии (мощности) субабонентов (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"прил_4"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2).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3.6.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случае, расположения объектов энергоснабжения потребителя в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нежилых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помещения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х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многоквартирных жилых дом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потребитель та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кже оплачивает объем потребленной электрической энергии на содержание общего имущества (далее – СОИ) мно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гоквартирного дома. Расчет объема и стоимости потребленной электрической энергии на СОИ, производится в соответствии с требованиями законодательства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9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если прибор учета расположен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на границе балансовой принадлежности объектов электроэнергетики (энерг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опринимающих устройств) потребителя, объем потребления (производства, передачи) электрической энергии, определенный на основании показаний такого прибора учета, в целях осуществления расчетов по настоящему договору подлежит корректировке на величину потерь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электрической энергии, указанных в Приложении № 2 и Приложении № 3 к настоящему договору, возникающих на участке сети от границы балансовой принадлежности объектов электроэнергетики (энергопринимающих устройств) потребителя до места установки прибора учет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а. Расчет величины потерь в таком случае осуществляется сетевой организацией в соответствии с актом уполномоченного федерального органа, регламентирующим расчет нормативов технологических потерь электрической энергии при ее передаче по электрическим сетям.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9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если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определение объема потребленной энергии в рамках Договора осуществляется с использованием совокупности точек учета, при этом безучетное потребление выявлено только в отношени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 одной (нескольких) из используемых точек учета, при отсутствии согласованного в рамках Договора распределения величины максимальной мощности по точкам учета, расчет объема безучетного потребления производится расчетным способом, установленным действующим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законодательством РФ, с учетом распределения максимальной мощности энергопринимающих устройств в границах балансовой принадлежности по точкам учета пропо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рционально величине допустимой длительной токовой нагрузки соответствующего вводного провода (кабеля).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9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факту выявленного в ходе проверки безучетного потребления электрической энергии сетевой организацией составляется акт о неучтенном потреблении электрической энергии на основании, которого осуществляются расчеты за потребленную таким образом электроэнергию.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9"/>
        </w:numPr>
        <w:ind w:right="-1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Лицами, ответственными за снятие показаний расчетного прибора учета, являются: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567" w:leader="none"/>
        </w:tabs>
        <w:rPr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- сетевая организация в отношении приборов учета, присоединенных к интеллектуальным системам у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чета электрической энергии (мощности) соответствующей сетевой организации, а также иных расчетных приборов учета, расположенных в границах объектов электросетевого хозяйства сетевых организаций или в границах бесхозяйных объектов электросетевого хозяйства;</w:t>
      </w:r>
      <w:r>
        <w:rPr>
          <w:highlight w:val="white"/>
        </w:rPr>
      </w:r>
      <w:r>
        <w:rPr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567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- потребители, собственники (владельцы) объектов электросетевого хозяйства в отношении расчетных приборов учета, установленных в границах объектов таких лиц и не присоединенных к интеллектуальным системам учета электрической энергии (мощности).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9"/>
        </w:numPr>
        <w:ind w:left="0" w:right="-1" w:firstLine="284"/>
        <w:jc w:val="both"/>
        <w:keepNext/>
        <w:widowControl w:val="off"/>
        <w:tabs>
          <w:tab w:val="left" w:pos="567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имеют иные права и обя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занности по обеспечению учёта потреблённой электрической энергии (мощности), а также несут иную ответственность, предусмотренные Договором и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9"/>
        </w:numPr>
        <w:jc w:val="center"/>
        <w:keepNext/>
        <w:spacing w:before="240"/>
        <w:widowControl w:val="off"/>
        <w:rPr>
          <w:rFonts w:ascii="Liberation Serif" w:hAnsi="Liberation Serif" w:cs="Liberation Serif"/>
          <w:b/>
          <w:sz w:val="18"/>
          <w:szCs w:val="18"/>
          <w:highlight w:val="white"/>
        </w:rPr>
        <w:outlineLvl w:val="0"/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Ограничение режима потребления электрической энергии (мощности).</w:t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p>
      <w:pPr>
        <w:pStyle w:val="929"/>
        <w:numPr>
          <w:ilvl w:val="1"/>
          <w:numId w:val="1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Порядок и основа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ния введения ограничения режима потребления энергии в отношении энергопринимающих устройств и (или) объектов электроэнергетики Потребителя по Договору, в том числе по инициативе поставщика, порядок и основания возобновления подачи энергии, устанавливаются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Правилами полного и (или) частичного ограничения режима потребления электрической энергии.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Уведомление потребителя о введении ограничения режима потребления электрической энергии (мощности) осуществляется любым из следующих способов: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вручение уведомления потребителю либо его представителю нарочно под расписку о вручении;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отправка уведомления заказным письмом на почтовый адрес потребителя, указанный в п.11.2 настоящего договора,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 уведомлением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о вручении почтового отправления;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отправка уведомления в электронном виде с использованием телекоммуникационных каналов связи и усиленной квалифицированной электронной подписи, в соответствии с требованиями п.6.7 настоящего договора;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отправка уведомления потребителю через «личный кабинет клиента» на официальном сайте поставщика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"http://www.saratovenergo.ru/"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www.saratovenergo.ru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 в информационно-телекоммуникационной сети «Интернет»;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отправка уведомления в сканированном виде на адрес электронной почты потребителя, указанный в п.11.2 договора;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посредством включения текста уведом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ления в счет на оплату потребленной электрической энергии (мощности), оказанных услуг по передаче электрической энергии и (или) услуг, оказание которых является неотъемлемой частью процесса поставки электрической энергии потребителю по настоящему договору;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отправка короткого текстового сообщения (смс-сообщение) на номер мобильного телефона потребителя, указанный в п.11.2 договора, и иным способом, позволяющим подтвердить доставку уведомления о введении ограничения режима потребления.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Возобновление подачи электрической энергии осуществляется после устранения Потребителем оснований для введения ограничения режима потребления в порядке и сроки, установленные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Правилами полного и (или) частичного ограничения режима потребления электрической энергии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Уведомление о введении ограничения режима потребления считается доставленным, а Потребитель надлежащим образом, уведомленным в день доставки Потребителю уведомления способами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указанными в соответствии с требованиями п.4.2.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highlight w:val="white"/>
        </w:rPr>
      </w:r>
      <w:bookmarkStart w:id="7" w:name="_Hlk102121750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соглашаются и признают, что подтверждением надлежащего уведомлени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я Потребителя о введении ограничения режима потребления являются: по адресу электронной почты – распечатка страницы электронной почты с указанием даты и времени направления письма с отсканированным текстом уведомления на адрес электронной почты Потребителя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указанный в п.11.2. Договора; посредством «Личного кабинета» – распечатка скриншота интернет-страницы «Личного кабинета», с указанием ее адреса, а также даты и времени размещения уведомления о введении ограничения, с отсканированным текстом уведомления.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left="360" w:right="-1"/>
        <w:jc w:val="both"/>
        <w:keepNext/>
        <w:widowControl w:val="off"/>
        <w:tabs>
          <w:tab w:val="left" w:pos="567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highlight w:val="white"/>
        </w:rPr>
      </w:r>
      <w:bookmarkEnd w:id="6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7"/>
        </w:numPr>
        <w:ind w:right="-1"/>
        <w:jc w:val="center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b/>
          <w:sz w:val="18"/>
          <w:szCs w:val="18"/>
          <w:highlight w:val="white"/>
        </w:rPr>
      </w:pPr>
      <w:r>
        <w:rPr>
          <w:highlight w:val="white"/>
        </w:rPr>
      </w:r>
      <w:bookmarkEnd w:id="7"/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Цена договора</w:t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p>
      <w:pPr>
        <w:ind w:left="0" w:right="0" w:firstLine="283"/>
        <w:jc w:val="both"/>
        <w:keepNext/>
        <w:widowControl w:val="off"/>
        <w:tabs>
          <w:tab w:val="clear" w:pos="0" w:leader="none"/>
        </w:tabs>
        <w:rPr>
          <w:rFonts w:ascii="Liberation Serif" w:hAnsi="Liberation Serif" w:cs="Liberation Serif"/>
          <w:sz w:val="18"/>
          <w:szCs w:val="18"/>
          <w:highlight w:val="white"/>
          <w14:ligatures w14:val="non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5.1.  Ориентировочная цена настоящего договора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____________ тыс.руб.</w:t>
      </w:r>
      <w:r>
        <w:rPr>
          <w:rFonts w:ascii="Liberation Serif" w:hAnsi="Liberation Serif" w:cs="Liberation Serif"/>
          <w:sz w:val="18"/>
          <w:szCs w:val="18"/>
          <w:highlight w:val="none"/>
        </w:rPr>
        <w:t xml:space="preserve">(с учетом НДС 20%),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рассчитана исходя из произведения договорного количества поставки электрической энергии (мощности) и тарифа, ут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вержденного органом исполнительной власти субъекта Российской Федерации в области государственного регулирования тарифов для диапазонов объемов потребления электрической энергии.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  <w14:ligatures w14:val="none"/>
        </w:rPr>
      </w:r>
    </w:p>
    <w:p>
      <w:pPr>
        <w:ind w:left="360" w:firstLine="0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ans" w:hAnsi="Liberation Sans" w:eastAsia="Liberation Sans" w:cs="Liberation Sans"/>
          <w:color w:val="000000"/>
          <w:sz w:val="21"/>
          <w:highlight w:val="none"/>
        </w:rPr>
      </w:r>
      <w:r>
        <w:rPr>
          <w:rFonts w:ascii="Liberation Sans" w:hAnsi="Liberation Sans" w:eastAsia="Liberation Sans" w:cs="Liberation Sans"/>
          <w:color w:val="000000"/>
          <w:sz w:val="21"/>
          <w:highlight w:val="non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5"/>
        </w:numPr>
        <w:ind w:right="-1" w:firstLine="284"/>
        <w:jc w:val="center"/>
        <w:keepNext/>
        <w:widowControl w:val="off"/>
        <w:rPr>
          <w:rFonts w:ascii="Liberation Serif" w:hAnsi="Liberation Serif" w:cs="Liberation Serif"/>
          <w:b/>
          <w:sz w:val="18"/>
          <w:szCs w:val="18"/>
          <w:highlight w:val="white"/>
        </w:rPr>
      </w:pPr>
      <w:r>
        <w:rPr>
          <w:rFonts w:ascii="Liberation Serif" w:hAnsi="Liberation Serif" w:eastAsia="Liberation Serif" w:cs="Liberation Serif"/>
          <w:b/>
          <w:sz w:val="18"/>
          <w:szCs w:val="18"/>
          <w:highlight w:val="white"/>
        </w:rPr>
        <w:t xml:space="preserve">Расчеты за электрическую энергию (мощность) и оказанные услуги.</w:t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p>
      <w:pPr>
        <w:pStyle w:val="929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Расчетным периодом считается календарный месяц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Потребитель производит оплату 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потребленной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 электрической энергии по тарифу, установленному о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рганом исполнительной власти субъекта Российской Федерации для данной категории потребителей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Поставщик производит расчёты и выставляет потребителю в сроки, указанные в настоящем договоре, счета-фактуры и счета на оплату: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потреблённой за расчётный период электрической энергии и мощности, объём которой сформирован в соответствии с условиями договора и действующего законодательства РФ;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безучётного потребления электрической энергии и мощности, при наличии надлежащим образом оформленного акта, п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одтверждающего данный факт и обоснованного расчёта объёмов безучётного потребления электрической энергии и мощности;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затрат, понесенных поставщиком и сетевой организацией в связи с введением в отношении потребителя, ограничения режима потребления электрической энергии (мощности), согласно пункта 2.2.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1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. и порядка, предусмотренного 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Р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азделом 4 Договора, а также возобновления подачи электрической энергии (мощности) после устранения причин, явившихся основанием для ограничения режима потребления электрическо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й энергии (мощности). Расчёт стоимости оказанных поставщиком и сетевой организацией услуг производится поставщиком на основании калькуляций, утвержденных в установленном порядке, в рамках предельных значений, установленных действующим законодательством РФ;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неустойки за нарушение обязательств по оплате в соответствии с условиями пункта 7.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2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. настоящего договора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убытков поставщика, причиненных неисполнением или ненадлежащим исполнением 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П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отребителем обязанностей по обеспечению сохранности и целостности установленных 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П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оставщиком приборов учета и (или) иного оборудования, которые используются для обеспечения коммерческого учета электрической энергии (мощности), согласно требованиям, п.3.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3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 настоящего договора и требованиям действующего законодательства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В случае, если потребитель в платёжном документе не указал назначение платежа либо указал его некорректно, сумма произведенного платежа распределяется в следующей последовательности: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задолженность потребителя по прошедшим неоплаченным плановым платежам (расчётным периодам);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плановый платеж потребителя текущего периода;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плановый платеж потребителя последующего периода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; 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неустойка за нарушение обязательств по оплате, в соответствии с условиями пункта 7.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2</w:t>
      </w:r>
      <w:r>
        <w:rPr>
          <w:rFonts w:ascii="Liberation Serif" w:hAnsi="Liberation Serif" w:eastAsia="Liberation Serif" w:cs="Liberation Serif"/>
          <w:sz w:val="18"/>
          <w:szCs w:val="18"/>
          <w:highlight w:val="white"/>
        </w:rPr>
        <w:t xml:space="preserve"> на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стоящего договора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numPr>
          <w:ilvl w:val="1"/>
          <w:numId w:val="11"/>
        </w:numPr>
        <w:ind w:left="0" w:right="-1" w:firstLine="284"/>
        <w:jc w:val="both"/>
        <w:keepNext/>
        <w:widowControl w:val="off"/>
        <w:tabs>
          <w:tab w:val="clear" w:pos="0" w:leader="none"/>
          <w:tab w:val="left" w:pos="284" w:leader="none"/>
        </w:tabs>
        <w:rPr>
          <w:rFonts w:ascii="Times New Roman" w:hAnsi="Times New Roman"/>
          <w:sz w:val="18"/>
          <w:szCs w:val="18"/>
          <w:highlight w:val="white"/>
          <w:lang w:eastAsia="ru-RU"/>
          <w14:ligatures w14:val="none"/>
        </w:rPr>
      </w:pPr>
      <w:r>
        <w:rPr>
          <w:rFonts w:ascii="Times New Roman" w:hAnsi="Times New Roman"/>
          <w:sz w:val="18"/>
          <w:szCs w:val="18"/>
          <w:highlight w:val="white"/>
          <w:lang w:eastAsia="ru-RU"/>
        </w:rPr>
        <w:t xml:space="preserve">За п</w:t>
      </w:r>
      <w:r>
        <w:rPr>
          <w:rFonts w:ascii="Times New Roman" w:hAnsi="Times New Roman"/>
          <w:sz w:val="18"/>
          <w:szCs w:val="18"/>
          <w:highlight w:val="white"/>
          <w:lang w:eastAsia="ru-RU"/>
        </w:rPr>
        <w:t xml:space="preserve">отреблённую в расчётном периоде электрическую энергию (мощность) потребитель производит оплату поставщику </w:t>
      </w:r>
      <w:r>
        <w:rPr>
          <w:rFonts w:ascii="Times New Roman" w:hAnsi="Times New Roman"/>
          <w:sz w:val="18"/>
          <w:szCs w:val="18"/>
          <w:highlight w:val="white"/>
          <w:lang w:eastAsia="ru-RU"/>
        </w:rPr>
        <w:t xml:space="preserve">в срок не позднее 15-го </w:t>
      </w:r>
      <w:r>
        <w:rPr>
          <w:rFonts w:ascii="Times New Roman" w:hAnsi="Times New Roman"/>
          <w:sz w:val="18"/>
          <w:szCs w:val="18"/>
          <w:highlight w:val="white"/>
          <w:lang w:eastAsia="ru-RU"/>
        </w:rPr>
        <w:t xml:space="preserve">(пятнадцатого)</w:t>
      </w:r>
      <w:r>
        <w:rPr>
          <w:rFonts w:ascii="Times New Roman" w:hAnsi="Times New Roman"/>
          <w:sz w:val="18"/>
          <w:szCs w:val="18"/>
          <w:highlight w:val="white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  <w:highlight w:val="white"/>
          <w:lang w:eastAsia="ru-RU"/>
        </w:rPr>
        <w:t xml:space="preserve">ч</w:t>
      </w:r>
      <w:r>
        <w:rPr>
          <w:rFonts w:ascii="Times New Roman" w:hAnsi="Times New Roman"/>
          <w:sz w:val="18"/>
          <w:szCs w:val="18"/>
          <w:highlight w:val="white"/>
          <w:lang w:eastAsia="ru-RU"/>
        </w:rPr>
        <w:t xml:space="preserve">исла месяц</w:t>
      </w:r>
      <w:r>
        <w:rPr>
          <w:rFonts w:ascii="Times New Roman" w:hAnsi="Times New Roman"/>
          <w:sz w:val="18"/>
          <w:szCs w:val="18"/>
          <w:highlight w:val="white"/>
          <w:lang w:eastAsia="ru-RU"/>
        </w:rPr>
        <w:t xml:space="preserve">а, следующего за расчетным периодом</w:t>
      </w:r>
      <w:r>
        <w:rPr>
          <w:rFonts w:ascii="Times New Roman" w:hAnsi="Times New Roman"/>
          <w:sz w:val="18"/>
          <w:szCs w:val="18"/>
          <w:highlight w:val="white"/>
          <w:lang w:eastAsia="ru-RU"/>
        </w:rPr>
        <w:t xml:space="preserve">.</w:t>
      </w:r>
      <w:r>
        <w:rPr>
          <w:rFonts w:ascii="Times New Roman" w:hAnsi="Times New Roman"/>
          <w:sz w:val="18"/>
          <w:szCs w:val="18"/>
          <w:highlight w:val="white"/>
          <w:lang w:eastAsia="ru-RU"/>
          <w14:ligatures w14:val="none"/>
        </w:rPr>
      </w:r>
      <w:r>
        <w:rPr>
          <w:rFonts w:ascii="Times New Roman" w:hAnsi="Times New Roman"/>
          <w:sz w:val="18"/>
          <w:szCs w:val="18"/>
          <w:highlight w:val="white"/>
          <w:lang w:eastAsia="ru-RU"/>
          <w14:ligatures w14:val="none"/>
        </w:rPr>
      </w:r>
    </w:p>
    <w:p>
      <w:pPr>
        <w:numPr>
          <w:ilvl w:val="1"/>
          <w:numId w:val="11"/>
        </w:numPr>
        <w:ind w:left="0" w:right="-1" w:firstLine="284"/>
        <w:jc w:val="both"/>
        <w:keepNext/>
        <w:widowControl w:val="off"/>
        <w:tabs>
          <w:tab w:val="clear" w:pos="0" w:leader="none"/>
          <w:tab w:val="left" w:pos="28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Times New Roman" w:hAnsi="Times New Roman"/>
          <w:sz w:val="18"/>
          <w:szCs w:val="18"/>
          <w:highlight w:val="white"/>
          <w:lang w:eastAsia="ru-RU"/>
        </w:rPr>
        <w:t xml:space="preserve">Поставщик в срок не позднее 10-го </w:t>
      </w:r>
      <w:r>
        <w:rPr>
          <w:rFonts w:ascii="Times New Roman" w:hAnsi="Times New Roman"/>
          <w:sz w:val="18"/>
          <w:szCs w:val="18"/>
          <w:highlight w:val="white"/>
          <w:lang w:eastAsia="ru-RU"/>
        </w:rPr>
        <w:t xml:space="preserve">(</w:t>
      </w:r>
      <w:r>
        <w:rPr>
          <w:rFonts w:ascii="Times New Roman" w:hAnsi="Times New Roman"/>
          <w:sz w:val="18"/>
          <w:szCs w:val="18"/>
          <w:highlight w:val="white"/>
          <w:lang w:eastAsia="ru-RU"/>
        </w:rPr>
        <w:t xml:space="preserve">десятого</w:t>
      </w:r>
      <w:r>
        <w:rPr>
          <w:rFonts w:ascii="Times New Roman" w:hAnsi="Times New Roman"/>
          <w:sz w:val="18"/>
          <w:szCs w:val="18"/>
          <w:highlight w:val="white"/>
          <w:lang w:eastAsia="ru-RU"/>
        </w:rPr>
        <w:t xml:space="preserve">)</w:t>
      </w:r>
      <w:r>
        <w:rPr>
          <w:rFonts w:ascii="Times New Roman" w:hAnsi="Times New Roman"/>
          <w:sz w:val="18"/>
          <w:szCs w:val="18"/>
          <w:highlight w:val="white"/>
          <w:lang w:eastAsia="ru-RU"/>
        </w:rPr>
        <w:t xml:space="preserve"> чи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сла месяца, следующего за расчётным, выставляет потребителю следующие документы: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3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акт приема-передачи электрической энергии (мощности) за расчётный период;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3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счёт-фактуру на объём и стоимость потреблённой электрической энергии и мощности, и другие услуги, неразрывно связанные с процессом передачи электрической энергии;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3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корректировочные либо исправительные счёта-фактуры за периоды, предшествующие расчётному, при наличии оснований;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3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изменение в акты об объёме фактически потреблённой электрической энергии и мощности за периоды, предшествующие расчётному, при наличии оснований;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3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сч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ёт (единый или раздельные счета) на суммы, подлежащие оплате потребителем в адрес поставщика, по итогам расчётного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периода.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Потребитель не позднее 3 рабочих дней с момента получения от поставщика акта приема-передачи электрической энергии (мощности) за расчётный период, или изменений в акт за период, предшествующий р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асчётному, направленных поставщиком в соответствии с требованиями пункта 6.5. договора, направляет способами, указанными в п. 6.7 настоящего договора, поставщику подписанный со своей стороны экземпляр данного акта, либо мотивированный письменный отказ от 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го подписания. В случае если в течении 3 рабочих дней с момента получения акта приема-передачи потребитель не подпишет его либо не предоставит поставщику мотивированные возражения  по нему, акт приема-передачи считается согласованным со стороны потребителя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</w:t>
      </w:r>
      <w:bookmarkStart w:id="8" w:name="п_6_8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пришли к соглашению об использовании электронного документооборота при выставлении поставщиком и получении Потребителем актов приема-передачи, счетов-фактур, счетов на оплату энергии (мощности), универсальных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передаточных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документов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(при уведомлении Поставщика не менее чем за 5 рабочих дней до начала расчетного периода)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претензий (требований), в соответствии с одним из нижеследующих вариантов:</w:t>
      </w:r>
      <w:bookmarkEnd w:id="8"/>
      <w:r>
        <w:rPr>
          <w:highlight w:val="white"/>
        </w:rPr>
      </w:r>
      <w:bookmarkStart w:id="9" w:name="_Hlk102559560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Обмен электронными документами, подписанными усиленной квалифицированной электронной подписью, посредством системы электронного документооборота (Диадок / СБИС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/ др.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)_____________________________, оператором которой является___________________________________________, (АО «ПФ «СКБ Контур» / ООО «Компания «Тензор»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/ др.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)                                                                                                                                                   по телекоммуникацион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ным каналам связи – в порядке, установленном настоящим Договором, действующим законодательством РФ, а также договорами об обмене электронными документами, заключенными Сторонами с соответствующим оператором электронного документооборота (далее – Оператор).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highlight w:val="white"/>
        </w:rPr>
      </w:r>
      <w:bookmarkEnd w:id="9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Для участия в электронном документообороте и соблюдения условий Договора в части выставления и получения электронных документов Сторонам следует: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а) иметь действующий сертификат квалифицированной электронной подписи, используемый для сдачи отчётности в контролирующие органы через «Интернет»;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б) оформить и предоставить Оператору заявление об участии в электронном документообороте по телекоммуникационным каналам связи;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в) заключить с Оператором договор об участии в электронном документообороте;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г) получить у Оператора идентификатор участника электронного документооборота, реквизиты доступа и другие данные, необходимые для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подключения к электронному документообороту по телекоммуникационным каналам связи, а также при необходимости настроить роуминг (функцию межоператорского взаимодействия для обмена электронными данными) между операт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орами электронного документооборота Сторон;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д) после входа в систему электронного документооборота добавить другую Сторону Договора в список контрагентов.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Каждая Сторона вправе приостановить электронный документооборот на основании письменного уведомления другой Стороны. В уведомле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нии указываются причины, дата начала приостановления и срок приостановления электронного документооборота. На период приостановления электронного документооборота в целях обмена платежно-расчетными документами Стороны переходят к варианту, описанному в п.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6.7.2. договора, либо на бумажный документооборот. В указанном случае Стороны вправе согласовать иные способ и место получения счетов и первичных учетных документов на оплату энергии (мощности) по Договору посредством заключения дополнительного соглашения.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Возобновление электронного документооборота производится на основании письменного уведомления Стороной – инициатором приост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ановления электронного документооборота другой Стороны.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отсутствии у Сторон(ы) доступа к систем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 электронного документооборота поставщик направляет Потребителю счета, акт приема-передачи энергии (мощности) и счет-фактуру за расчетный период через «Личный кабинет», а при недоступности «Личного кабинета», или отсутствии у Потребителя регистрации в «Ли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чном кабинете» на адрес электронной почты, указанный Потребителем в п. 11.2 договора. Поставщик имеет право направлять по электронной почте первичные документы с любых адресов, имеющих в названии доменное имя sarenergo.ru или interrao.ru, а также с адрес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"mailto:noreply@mpi.sarenergo.ru"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sz w:val="18"/>
          <w:szCs w:val="18"/>
          <w:highlight w:val="white"/>
        </w:rPr>
        <w:t xml:space="preserve">noreply@mpi.sarenergo.ru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случае, отсутствии возможности у потребителя получения информации способами, указанными в п. 6.7.1 и 6.7.2, оригиналы сч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етов (счета-фактуры), актов приема-передачи энергии на бумажном носителе, подписанные уполномоченным лицом поставщика, выдаются Потребителю по его письменному запросу в течение 5 рабочих дней и подлежат получению Потребителем в месте нахождения поставщика.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получении Потребителем первичных до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кументов (актов приема-передачи энергии (мощности), счетов-фактур за расчетный период) одновременно в соответствие с п. 6.7.1 и п. 6.7.2. настоящего Договора приоритет имеют документы, направленные/полученные в соответствие с п. 6.7.1.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Пост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авщик в течение 5 рабочих дней со дня получении уведомления от потребителя о намерении отказаться от исполнения настоящего договора полностью или уменьшить объемы приобретаемой электрической энергии и мощности направляет потребителю счет, выставленный в со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ответствии с требованиями Основных положений функционирования розничных рынков электрической энергии. Выставленный поставщиком счет должен быть оплачен потребителем не позднее чем за 10 рабочих дней до заявленной им даты расторжения или изменения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на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личии сумм, излишне внесенных потребителем в счет оплаты электрической энергии (мощности), поставщик направляет потребителю соответствующее извещение в течение 5 рабочих дней со дня получения уведомления о расторжении или изменении договора от потребителя.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Для осуществления окончательных расчетов за электрическую энергию (мощность) потребитель обязан обеспечить предоставление поставщику показаний приборов учета, используемых для расчетов по договору, на дату расторжения или изменения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Окончательные расчеты за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электрическую энергию (мощность) должны быть произведены сторонами договора не позднее 5 рабочих дней после определения предельных уровней нерегулируемых цен за соответствующий расчетный период.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Плата считается произведенной со дня зачисления денежных средств на расчётный счет поставщика, указанный в настоящем договоре или сообщённый письмом поставщика. Доказательством оплаты является представленная банком выписка из лицевого счета поставщика.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Сверка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расчетов за потребленную электрическую энергию производиться по требованию поставщ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ика (но не реже 1 раза в квартал), с оформлением актов сверки расчетов в двух экземплярах, по форме установленной поставщиком. Акты сверки расчетов подписываются потребителем в течении 14 (четырнадцати) дней с момента его получения от поставщика. В случае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если в течении 14 (четырнадцати) дней с момента получения акт сверки потребитель не подпишет его и не предоставит поставщику мотивированные возражения по нему, способом указанным в п.6.7. настоящего договора, акт сверки считается согласованным потребителем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6.11.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имеют иные права и обязанности, а также несут иную ответственность, предусмотренные Договором и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1"/>
        </w:numPr>
        <w:jc w:val="center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Ответственность сторон за нарушение условий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7.1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Стороны освобождаются от ответственности за неисполнение или ненадлежащее исполнение обязательств по настоящему договору, если это неисполнение явилось следствием обстоятельств непреодолимой силы, возни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кших после заключения договора – стихийные бедствия, военные действия любого характера, действия третьих лиц, акты государственных органов власти, препятствующие выполне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нию условий настоящего договора. Сторона, ссылающаяся на обстоятельства непреодолимой 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илы, обязана незамедлительно информировать в письменном виде другую сторону о наступлении подобных обстоятельств. Если указанные обстоятельства длятся свыше одного месяца, стороны проводят переговоры с целью достижения приемлемого для обеих сторон решения.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7.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Потребитель несвоевременно и (или) не полностью оплативший электрическую энергию Поставщику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обязан оплатить ему пени </w:t>
      </w:r>
      <w:r>
        <w:rPr>
          <w:sz w:val="18"/>
          <w:szCs w:val="18"/>
          <w:highlight w:val="white"/>
        </w:rPr>
        <w:t xml:space="preserve">рассчитанную Поставщиком в соответствии с требованиями действующего законодательства РФ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center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8. Порядок разрешения споров.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20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Во всех случаях, не предусмотренных нас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тоящим договором, стороны руководствуются действующим законодательством РФ, решениями органов исполнительной власти, уполномоченных в области государственного регулирования тарифов, другими действующими нормативными и правовыми актами Российской Федерации.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Споры, связанные с неисполнением или ненадлежащим исполнением настоящего договора, рассматриваются в Арбитражном суде Саратовской области.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7"/>
        <w:numPr>
          <w:ilvl w:val="1"/>
          <w:numId w:val="20"/>
        </w:numPr>
        <w:ind w:left="0"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Претензионный порядок считается соблюденным по истечении пяти дней со дня направления претензии (требования) потребителю любым из следующих способов: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7"/>
        <w:ind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а) вручение потребителю либо его представителю нарочно под расписку о вручении;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7"/>
        <w:ind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б) отправка заказным письмом на почтовый адрес потребителя, указанный в п.11.2 настоящего договора;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7"/>
        <w:ind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в) </w:t>
        <w:tab/>
        <w:t xml:space="preserve">в электронном виде с использованием телекоммуникационных каналов связи и усиленной квалифицированной электронной подписи, посредством системы электронного документооборота, в соответствии с требованиями п.6.7.1 настоящего договора;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7"/>
        <w:ind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г)</w:t>
        <w:tab/>
        <w:t xml:space="preserve">через «личный кабинет клиента» на официальном сайте поставщика www.saratovenergo.ru в информационно-телекоммуникационной сети «Интернет»;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7"/>
        <w:ind w:right="0"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д)</w:t>
        <w:tab/>
        <w:t xml:space="preserve">в сканированном виде на адрес электронной почты потребителя, указанный в п.11.2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7"/>
        <w:ind w:right="0"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7"/>
        <w:numPr>
          <w:ilvl w:val="0"/>
          <w:numId w:val="20"/>
        </w:numPr>
        <w:ind w:right="0"/>
        <w:jc w:val="center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b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Конфиденциальность.</w:t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p>
      <w:pPr>
        <w:pStyle w:val="929"/>
        <w:numPr>
          <w:ilvl w:val="1"/>
          <w:numId w:val="20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в течение срока действия настоящего договора, а также в течение 3 (трёх) лет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Договора (в том числе персональных данных), за исключением информации и данных, явл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яющихся общедоступными (далее -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20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 152-ФЗ от 27.07.2006 года.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20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Не является нарушением конфиденциальности предоставле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ние конфиденциальной информации по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законному требованию правоохранительных и иных уполномоченных государственных органов, и должностных лиц в случаях и в порядке, предусмотренных применимым законодательством. Договор может быть передан системообразующей территориальной сетевой организации.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left="644" w:right="-1"/>
        <w:jc w:val="center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10. Срок действия и порядок изменения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5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Настоящий договор вступает в силу с момента его подписания 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торонами, распространяет своё действие на отношения сторон, возникшие с 00 часов 00  минут «___»_________ 202___г. и действует до 24 часов 00  минут  «___» ________ 202__г., а в части оплаты по договору, до полного исполнения обязательств Сторон. Договор 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читается ежегодно продленным на следующий календарный год на тех же условиях, если за 30 календарных дней до окончания срока его действия ни одна из сторон не заявит о прекращении его действия, изменении условий договора, либо о заключении нового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Исполнение обязательств поставщика по настоящему договору осуществляется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в соответствии с действующим законо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дательством.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Прекращение (приостановление) действия настоящего договора не освобождает стороны от обязательств по возмещению имеющейся дебиторской или кредиторской задолженности, возникшей при исполнении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Изменения условий настоящего договора и дополнения к нему производятся путём заключения дополнительных соглашений, подписанных обеими сторонами, в течение всего срока действия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firstLine="284"/>
        <w:jc w:val="center"/>
        <w:keepNext/>
        <w:spacing w:before="240"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0"/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Приложения к договору: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highlight w:val="white"/>
        </w:rPr>
      </w:r>
      <w:bookmarkStart w:id="10" w:name="прил_1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1: </w:t>
      </w:r>
      <w:bookmarkEnd w:id="10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«Договорные объемы потребления электрической энергии и мощности» - 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Формируется поставщиком на основании заявки потребителя;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highlight w:val="white"/>
        </w:rPr>
      </w:r>
      <w:bookmarkStart w:id="11" w:name="прил_4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2: «Перечень субабонентов потребителя» - 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Формируется поставщиком на основании данных, предоставленных потребителем и (или) собственной информации поставщика о наличии заключенных с субабонентами договоров;</w:t>
      </w:r>
      <w:bookmarkEnd w:id="11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3: «Адреса установки и спецификация приборов учёта потребителя» - 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Формируется поставщиком на основании данных, предоставленных потребителем;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ind w:right="-1" w:firstLine="284"/>
        <w:jc w:val="both"/>
        <w:keepNext/>
        <w:widowControl w:val="off"/>
        <w:tabs>
          <w:tab w:val="left" w:pos="851" w:leader="none"/>
        </w:tabs>
        <w:rPr>
          <w:sz w:val="18"/>
          <w:szCs w:val="18"/>
          <w:highlight w:val="white"/>
        </w:rPr>
      </w:pPr>
      <w:r>
        <w:rPr>
          <w:sz w:val="18"/>
          <w:szCs w:val="18"/>
          <w:highlight w:val="white"/>
        </w:rPr>
        <w:t xml:space="preserve">Приложение № 4</w:t>
      </w:r>
      <w:r>
        <w:rPr>
          <w:sz w:val="18"/>
          <w:szCs w:val="18"/>
          <w:highlight w:val="white"/>
        </w:rPr>
        <w:t xml:space="preserve">: </w:t>
      </w:r>
      <w:r>
        <w:rPr>
          <w:sz w:val="18"/>
          <w:szCs w:val="18"/>
          <w:highlight w:val="white"/>
        </w:rPr>
        <w:t xml:space="preserve">Не</w:t>
      </w:r>
      <w:r>
        <w:rPr>
          <w:sz w:val="18"/>
          <w:szCs w:val="18"/>
          <w:highlight w:val="white"/>
        </w:rPr>
        <w:t xml:space="preserve"> оформляется;</w:t>
      </w:r>
      <w:r>
        <w:rPr>
          <w:sz w:val="18"/>
          <w:szCs w:val="18"/>
          <w:highlight w:val="white"/>
        </w:rPr>
      </w:r>
      <w:r>
        <w:rPr>
          <w:sz w:val="18"/>
          <w:szCs w:val="18"/>
          <w:highlight w:val="white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5: «Перечень точек поставки электрической энергии» - 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Формируется поставщиком на основании документов, предоставленных потребителем при заключении настоящего договора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6: «Согласие на обработку персональных данных»;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7: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«Формат предоставления интегральных данных об объёмах потребления электрической энергии (мощности) за расчётный период».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Настоящий договор с приложениями (являющимися неотъемлемой частью договора) составлен в двух экземплярах (по одному для каждой из сторон), имеющих равную юридическую силу.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7"/>
        <w:ind w:firstLine="284"/>
        <w:jc w:val="center"/>
        <w:keepNext/>
        <w:spacing w:before="240"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11. Юридические адреса Сторон и банковские реквизиты: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7"/>
        <w:ind w:left="-284"/>
        <w:jc w:val="center"/>
        <w:keepNext/>
        <w:widowControl w:val="off"/>
        <w:rPr>
          <w:rFonts w:ascii="Liberation Serif" w:hAnsi="Liberation Serif" w:cs="Liberation Serif"/>
          <w:b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tbl>
      <w:tblPr>
        <w:tblW w:w="0" w:type="auto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99"/>
        <w:gridCol w:w="4958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99" w:type="dxa"/>
            <w:vAlign w:val="top"/>
            <w:textDirection w:val="lrTb"/>
            <w:noWrap w:val="false"/>
          </w:tcPr>
          <w:p>
            <w:pPr>
              <w:pStyle w:val="929"/>
              <w:ind w:right="-1"/>
              <w:jc w:val="center"/>
              <w:keepNext/>
              <w:widowControl w:val="off"/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11.1 Поставщик ПАО «Саратовэнерго»: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8" w:type="dxa"/>
            <w:vAlign w:val="top"/>
            <w:textDirection w:val="lrTb"/>
            <w:noWrap w:val="false"/>
          </w:tcPr>
          <w:p>
            <w:pPr>
              <w:pStyle w:val="929"/>
              <w:ind w:right="-1"/>
              <w:jc w:val="center"/>
              <w:keepNext/>
              <w:widowControl w:val="off"/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11.2. Потребитель: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</w:tc>
      </w:tr>
      <w:tr>
        <w:tblPrEx/>
        <w:trPr>
          <w:trHeight w:val="230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99" w:type="dxa"/>
            <w:vAlign w:val="top"/>
            <w:textDirection w:val="lrTb"/>
            <w:noWrap w:val="false"/>
          </w:tcPr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Адрес: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ул.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Банковские реквизиты: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р/с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БИК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ИНН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ОКВЭД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ОКПО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Банк: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 официального сайта ПАО «Саратовэнерго» 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begin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instrText xml:space="preserve"> HYPERLINK "http://www.saratovenergo.ru/"</w:instrTex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separate"/>
            </w:r>
            <w:r>
              <w:rPr>
                <w:rStyle w:val="1003"/>
                <w:rFonts w:ascii="Liberation Serif" w:hAnsi="Liberation Serif" w:cs="Liberation Serif"/>
                <w:color w:val="000000"/>
                <w:sz w:val="18"/>
                <w:szCs w:val="18"/>
                <w:highlight w:val="white"/>
              </w:rPr>
              <w:t xml:space="preserve">http://www.saratovenergo.ru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end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Адресная ссылка личного кабинет юридического лица (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begin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instrText xml:space="preserve"> HYPERLINK "https://lk.saratovenergo.ru/" \l "login"</w:instrTex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separate"/>
            </w:r>
            <w:r>
              <w:rPr>
                <w:rStyle w:val="1003"/>
                <w:rFonts w:ascii="Liberation Serif" w:hAnsi="Liberation Serif" w:cs="Liberation Serif"/>
                <w:color w:val="000000"/>
                <w:sz w:val="18"/>
                <w:szCs w:val="18"/>
                <w:highlight w:val="white"/>
              </w:rPr>
              <w:t xml:space="preserve">https://lk.saratovenergo.ru/#login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end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)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 электронной почты для передачи показаний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begin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instrText xml:space="preserve"> HYPERLINK "mailto:pokazaniapuul@interrao.ru"</w:instrTex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separate"/>
            </w:r>
            <w:r>
              <w:rPr>
                <w:rStyle w:val="1003"/>
                <w:rFonts w:ascii="Liberation Serif" w:hAnsi="Liberation Serif" w:cs="Liberation Serif"/>
                <w:color w:val="000000"/>
                <w:sz w:val="18"/>
                <w:szCs w:val="18"/>
                <w:highlight w:val="white"/>
              </w:rPr>
              <w:t xml:space="preserve">pokazaniapuul@interrao.ru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end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 официальной почты ПАО «Саратовэнерго»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begin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instrText xml:space="preserve"> HYPERLINK "mailto:office@sarenergo.ru"</w:instrTex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separate"/>
            </w:r>
            <w:r>
              <w:rPr>
                <w:rStyle w:val="1003"/>
                <w:rFonts w:ascii="Liberation Serif" w:hAnsi="Liberation Serif" w:cs="Liberation Serif"/>
                <w:color w:val="000000"/>
                <w:sz w:val="18"/>
                <w:szCs w:val="18"/>
                <w:highlight w:val="white"/>
              </w:rPr>
              <w:t xml:space="preserve">office@sarenergo.ru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end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8" w:type="dxa"/>
            <w:vAlign w:val="top"/>
            <w:textDirection w:val="lrTb"/>
            <w:noWrap w:val="false"/>
          </w:tcPr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Адрес: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ул.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Почтовый адрес _____________________________________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____________________________________________________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Банковские реквизиты: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р/с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БИК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ИНН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ОКВЭД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ОКПО</w:t>
              <w:tab/>
              <w:t xml:space="preserve"> 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Банк: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Мобильный телефон для передачи смс-сообщений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______________________________________________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Телефон приемной______________________________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Телефон гл.энергетика 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Телефон бухгалтерии ____________________________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 официальной эл.почты_________________________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057" w:type="dxa"/>
            <w:vAlign w:val="top"/>
            <w:textDirection w:val="lrTb"/>
            <w:noWrap w:val="false"/>
          </w:tcPr>
          <w:p>
            <w:pPr>
              <w:pStyle w:val="929"/>
              <w:ind w:left="-284" w:right="-1"/>
              <w:jc w:val="center"/>
              <w:keepNext/>
              <w:widowControl w:val="off"/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  <w:highlight w:val="white"/>
              </w:rPr>
              <w:t xml:space="preserve">Подписи Сторон: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29"/>
              <w:ind w:left="-284"/>
              <w:keepNext/>
              <w:widowControl w:val="off"/>
              <w:tabs>
                <w:tab w:val="left" w:pos="3968" w:leader="non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</w:tc>
      </w:tr>
    </w:tbl>
    <w:p>
      <w:pPr>
        <w:pStyle w:val="929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Поставщик</w:t>
        <w:tab/>
        <w:tab/>
        <w:tab/>
        <w:tab/>
        <w:tab/>
        <w:tab/>
        <w:t xml:space="preserve">Потребитель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keepNext/>
        <w:widowControl w:val="off"/>
        <w:rPr>
          <w:rFonts w:ascii="Liberation Serif" w:hAnsi="Liberation Serif" w:cs="Liberation Serif"/>
          <w:b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p>
      <w:pPr>
        <w:pStyle w:val="929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_______________________/____________________</w:t>
        <w:tab/>
        <w:tab/>
        <w:t xml:space="preserve">______________________________/___________________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keepNext/>
        <w:widowControl w:val="off"/>
        <w:rPr>
          <w:vanish/>
          <w:highlight w:val="white"/>
        </w:rPr>
      </w:pPr>
      <w:r>
        <w:rPr>
          <w:highlight w:val="whit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2" behindDoc="0" locked="0" layoutInCell="0" allowOverlap="1">
                <wp:simplePos x="0" y="0"/>
                <wp:positionH relativeFrom="column">
                  <wp:posOffset>736600</wp:posOffset>
                </wp:positionH>
                <wp:positionV relativeFrom="paragraph">
                  <wp:posOffset>5634037</wp:posOffset>
                </wp:positionV>
                <wp:extent cx="6755130" cy="403860"/>
                <wp:effectExtent l="0" t="0" r="0" b="0"/>
                <wp:wrapNone/>
                <wp:docPr id="1" name="_x0000_s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5513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251658242;o:allowoverlap:true;o:allowincell:false;mso-position-horizontal-relative:text;margin-left:58.00pt;mso-position-horizontal:absolute;mso-position-vertical-relative:text;margin-top:443.62pt;mso-position-vertical:absolute;width:531.90pt;height:31.80pt;mso-wrap-distance-left:9.00pt;mso-wrap-distance-top:0.00pt;mso-wrap-distance-right:9.00pt;mso-wrap-distance-bottom:0.00pt;visibility:visible;" fillcolor="#FFFFFF" strokecolor="#FFFFFF" strokeweight="0.74pt"/>
            </w:pict>
          </mc:Fallback>
        </mc:AlternateConten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м.п.</w:t>
        <w:tab/>
        <w:tab/>
        <w:tab/>
        <w:tab/>
        <w:tab/>
        <w:tab/>
        <w:tab/>
        <w:t xml:space="preserve">м.п.</w:t>
      </w:r>
      <w:r>
        <w:rPr>
          <w:highlight w:val="whit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0" allowOverlap="1">
                <wp:simplePos x="0" y="0"/>
                <wp:positionH relativeFrom="column">
                  <wp:posOffset>736600</wp:posOffset>
                </wp:positionH>
                <wp:positionV relativeFrom="paragraph">
                  <wp:posOffset>1734722</wp:posOffset>
                </wp:positionV>
                <wp:extent cx="6831330" cy="45720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8313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524288;o:allowoverlap:true;o:allowincell:false;mso-position-horizontal-relative:text;margin-left:58.00pt;mso-position-horizontal:absolute;mso-position-vertical-relative:text;margin-top:136.59pt;mso-position-vertical:absolute;width:537.90pt;height:36.00pt;mso-wrap-distance-left:9.00pt;mso-wrap-distance-top:0.00pt;mso-wrap-distance-right:9.00pt;mso-wrap-distance-bottom:0.00pt;visibility:visible;" fillcolor="#FFFFFF" stroked="f"/>
            </w:pict>
          </mc:Fallback>
        </mc:AlternateContent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0" allowOverlap="1">
                <wp:simplePos x="0" y="0"/>
                <wp:positionH relativeFrom="column">
                  <wp:posOffset>736600</wp:posOffset>
                </wp:positionH>
                <wp:positionV relativeFrom="paragraph">
                  <wp:posOffset>4005687</wp:posOffset>
                </wp:positionV>
                <wp:extent cx="6523990" cy="398145"/>
                <wp:effectExtent l="0" t="0" r="0" b="0"/>
                <wp:wrapNone/>
                <wp:docPr id="3" name="_x0000_s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523990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type="#_x0000_t1" style="position:absolute;z-index:251658241;o:allowoverlap:true;o:allowincell:false;mso-position-horizontal-relative:text;margin-left:58.00pt;mso-position-horizontal:absolute;mso-position-vertical-relative:text;margin-top:315.41pt;mso-position-vertical:absolute;width:513.70pt;height:31.35pt;mso-wrap-distance-left:9.00pt;mso-wrap-distance-top:0.00pt;mso-wrap-distance-right:9.00pt;mso-wrap-distance-bottom:0.00pt;visibility:visible;" fillcolor="#FFFFFF" strokecolor="#FFFFFF" strokeweight="0.74pt"/>
            </w:pict>
          </mc:Fallback>
        </mc:AlternateContent>
      </w:r>
      <w:r>
        <w:rPr>
          <w:vanish/>
          <w:highlight w:val="white"/>
        </w:rPr>
      </w:r>
      <w:r>
        <w:rPr>
          <w:vanish/>
          <w:highlight w:val="white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357" w:right="282" w:bottom="709" w:left="992" w:header="0" w:footer="2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Verdana">
    <w:panose1 w:val="020B0604030504040204"/>
  </w:font>
  <w:font w:name="Tahoma">
    <w:panose1 w:val="020B0604030504040204"/>
  </w:font>
  <w:font w:name="Calibri">
    <w:panose1 w:val="020F0502020204030204"/>
  </w:font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Noto Sans Devanagari">
    <w:panose1 w:val="020B0502040504020204"/>
  </w:font>
  <w:font w:name="StarSymbol">
    <w:panose1 w:val="02000603000000000000"/>
  </w:font>
  <w:font w:name="Symbol">
    <w:panose1 w:val="05010000000000000000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6"/>
      <w:ind w:right="-1"/>
      <w:tabs>
        <w:tab w:val="clear" w:pos="8306" w:leader="none"/>
      </w:tabs>
    </w:pPr>
    <w:r>
      <w:t xml:space="preserve">стр. </w:t>
    </w:r>
    <w:r>
      <w:rPr>
        <w:rStyle w:val="1002"/>
      </w:rPr>
      <w:fldChar w:fldCharType="begin"/>
    </w:r>
    <w:r>
      <w:rPr>
        <w:rStyle w:val="1002"/>
      </w:rPr>
      <w:instrText xml:space="preserve"> PAGE </w:instrText>
    </w:r>
    <w:r>
      <w:rPr>
        <w:rStyle w:val="1002"/>
      </w:rPr>
      <w:fldChar w:fldCharType="separate"/>
    </w:r>
    <w:r>
      <w:rPr>
        <w:rStyle w:val="1002"/>
      </w:rPr>
      <w:t xml:space="preserve">2</w:t>
    </w:r>
    <w:r>
      <w:rPr>
        <w:rStyle w:val="1002"/>
      </w:rPr>
      <w:fldChar w:fldCharType="end"/>
    </w:r>
    <w:r>
      <w:rPr>
        <w:rStyle w:val="1002"/>
      </w:rPr>
      <w:t xml:space="preserve"> из </w:t>
    </w:r>
    <w:r>
      <w:rPr>
        <w:rStyle w:val="1002"/>
      </w:rPr>
      <w:fldChar w:fldCharType="begin"/>
    </w:r>
    <w:r>
      <w:rPr>
        <w:rStyle w:val="1002"/>
      </w:rPr>
      <w:instrText xml:space="preserve"> NUMPAGES \* ARABIC </w:instrText>
    </w:r>
    <w:r>
      <w:rPr>
        <w:rStyle w:val="1002"/>
      </w:rPr>
      <w:fldChar w:fldCharType="separate"/>
    </w:r>
    <w:r>
      <w:rPr>
        <w:rStyle w:val="1002"/>
      </w:rPr>
      <w:t xml:space="preserve">9</w:t>
    </w:r>
    <w:r>
      <w:rPr>
        <w:rStyle w:val="1002"/>
      </w:rPr>
      <w:fldChar w:fldCharType="end"/>
    </w:r>
    <w:r>
      <w:rPr>
        <w:rStyle w:val="1002"/>
      </w:rPr>
      <w:t xml:space="preserve">       __________________ Поставщик                                                        __________________ Потребитель</w:t>
    </w:r>
    <w:r/>
  </w:p>
  <w:p>
    <w:pPr>
      <w:pStyle w:val="1016"/>
      <w:ind w:right="-1"/>
      <w:tabs>
        <w:tab w:val="clear" w:pos="8306" w:leader="none"/>
      </w:tabs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7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56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784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712" w:hanging="1440"/>
        <w:tabs>
          <w:tab w:val="num" w:pos="0" w:leader="none"/>
        </w:tabs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32" w:hanging="432"/>
        <w:tabs>
          <w:tab w:val="num" w:pos="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574" w:hanging="432"/>
        <w:tabs>
          <w:tab w:val="num" w:pos="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ind w:left="1146" w:hanging="720"/>
        <w:tabs>
          <w:tab w:val="num" w:pos="142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146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288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79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932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434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76" w:hanging="144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288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212" w:hanging="212"/>
        <w:tabs>
          <w:tab w:val="num" w:pos="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ind w:left="354" w:hanging="21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856" w:hanging="572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998" w:hanging="572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140" w:hanging="57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642" w:hanging="932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784" w:hanging="932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286" w:hanging="1292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428" w:hanging="1292"/>
        <w:tabs>
          <w:tab w:val="num" w:pos="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72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</w:lvl>
  </w:abstractNum>
  <w:abstractNum w:abstractNumId="5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384" w:hanging="384"/>
        <w:tabs>
          <w:tab w:val="num" w:pos="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384" w:hanging="384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  <w:tabs>
          <w:tab w:val="num" w:pos="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84" w:hanging="384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526" w:hanging="384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004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146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288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79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932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2434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576" w:hanging="144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288" w:hanging="360"/>
        <w:tabs>
          <w:tab w:val="num" w:pos="0" w:leader="none"/>
        </w:tabs>
      </w:pPr>
      <w:rPr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644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004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7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56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784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712" w:hanging="1440"/>
        <w:tabs>
          <w:tab w:val="num" w:pos="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644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7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56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784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712" w:hanging="1440"/>
        <w:tabs>
          <w:tab w:val="num" w:pos="0" w:leader="none"/>
        </w:tabs>
      </w:pPr>
    </w:lvl>
  </w:abstractNum>
  <w:abstractNum w:abstractNumId="12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1288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360" w:hanging="360"/>
        <w:tabs>
          <w:tab w:val="num" w:pos="-928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644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28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57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856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5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2784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42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3712" w:hanging="144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502" w:hanging="360"/>
        <w:tabs>
          <w:tab w:val="num" w:pos="-78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0" w:leader="none"/>
        </w:tabs>
      </w:p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288" w:hanging="360"/>
        <w:tabs>
          <w:tab w:val="num" w:pos="0" w:leader="none"/>
        </w:tabs>
      </w:pPr>
      <w:rPr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644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7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56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784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712" w:hanging="1440"/>
        <w:tabs>
          <w:tab w:val="num" w:pos="0" w:leader="none"/>
        </w:tabs>
      </w:pPr>
    </w:lvl>
  </w:abstractNum>
  <w:abstractNum w:abstractNumId="1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2">
    <w:name w:val="Heading 1"/>
    <w:basedOn w:val="929"/>
    <w:next w:val="929"/>
    <w:link w:val="75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3">
    <w:name w:val="Heading 1 Char"/>
    <w:link w:val="752"/>
    <w:uiPriority w:val="9"/>
    <w:rPr>
      <w:rFonts w:ascii="Arial" w:hAnsi="Arial" w:eastAsia="Arial" w:cs="Arial"/>
      <w:sz w:val="40"/>
      <w:szCs w:val="40"/>
    </w:rPr>
  </w:style>
  <w:style w:type="paragraph" w:styleId="754">
    <w:name w:val="Heading 2"/>
    <w:basedOn w:val="929"/>
    <w:next w:val="929"/>
    <w:link w:val="75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5">
    <w:name w:val="Heading 2 Char"/>
    <w:link w:val="754"/>
    <w:uiPriority w:val="9"/>
    <w:rPr>
      <w:rFonts w:ascii="Arial" w:hAnsi="Arial" w:eastAsia="Arial" w:cs="Arial"/>
      <w:sz w:val="34"/>
    </w:rPr>
  </w:style>
  <w:style w:type="paragraph" w:styleId="756">
    <w:name w:val="Heading 3"/>
    <w:basedOn w:val="929"/>
    <w:next w:val="929"/>
    <w:link w:val="75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7">
    <w:name w:val="Heading 3 Char"/>
    <w:link w:val="756"/>
    <w:uiPriority w:val="9"/>
    <w:rPr>
      <w:rFonts w:ascii="Arial" w:hAnsi="Arial" w:eastAsia="Arial" w:cs="Arial"/>
      <w:sz w:val="30"/>
      <w:szCs w:val="30"/>
    </w:rPr>
  </w:style>
  <w:style w:type="paragraph" w:styleId="758">
    <w:name w:val="Heading 4"/>
    <w:basedOn w:val="929"/>
    <w:next w:val="929"/>
    <w:link w:val="75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9">
    <w:name w:val="Heading 4 Char"/>
    <w:link w:val="758"/>
    <w:uiPriority w:val="9"/>
    <w:rPr>
      <w:rFonts w:ascii="Arial" w:hAnsi="Arial" w:eastAsia="Arial" w:cs="Arial"/>
      <w:b/>
      <w:bCs/>
      <w:sz w:val="26"/>
      <w:szCs w:val="26"/>
    </w:rPr>
  </w:style>
  <w:style w:type="paragraph" w:styleId="760">
    <w:name w:val="Heading 5"/>
    <w:basedOn w:val="929"/>
    <w:next w:val="929"/>
    <w:link w:val="7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1">
    <w:name w:val="Heading 5 Char"/>
    <w:link w:val="760"/>
    <w:uiPriority w:val="9"/>
    <w:rPr>
      <w:rFonts w:ascii="Arial" w:hAnsi="Arial" w:eastAsia="Arial" w:cs="Arial"/>
      <w:b/>
      <w:bCs/>
      <w:sz w:val="24"/>
      <w:szCs w:val="24"/>
    </w:rPr>
  </w:style>
  <w:style w:type="paragraph" w:styleId="762">
    <w:name w:val="Heading 6"/>
    <w:basedOn w:val="929"/>
    <w:next w:val="929"/>
    <w:link w:val="7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3">
    <w:name w:val="Heading 6 Char"/>
    <w:link w:val="762"/>
    <w:uiPriority w:val="9"/>
    <w:rPr>
      <w:rFonts w:ascii="Arial" w:hAnsi="Arial" w:eastAsia="Arial" w:cs="Arial"/>
      <w:b/>
      <w:bCs/>
      <w:sz w:val="22"/>
      <w:szCs w:val="22"/>
    </w:rPr>
  </w:style>
  <w:style w:type="paragraph" w:styleId="764">
    <w:name w:val="Heading 7"/>
    <w:basedOn w:val="929"/>
    <w:next w:val="929"/>
    <w:link w:val="7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5">
    <w:name w:val="Heading 7 Char"/>
    <w:link w:val="7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6">
    <w:name w:val="Heading 8"/>
    <w:basedOn w:val="929"/>
    <w:next w:val="929"/>
    <w:link w:val="7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7">
    <w:name w:val="Heading 8 Char"/>
    <w:link w:val="766"/>
    <w:uiPriority w:val="9"/>
    <w:rPr>
      <w:rFonts w:ascii="Arial" w:hAnsi="Arial" w:eastAsia="Arial" w:cs="Arial"/>
      <w:i/>
      <w:iCs/>
      <w:sz w:val="22"/>
      <w:szCs w:val="22"/>
    </w:rPr>
  </w:style>
  <w:style w:type="paragraph" w:styleId="768">
    <w:name w:val="Heading 9"/>
    <w:basedOn w:val="929"/>
    <w:next w:val="929"/>
    <w:link w:val="7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9">
    <w:name w:val="Heading 9 Char"/>
    <w:link w:val="768"/>
    <w:uiPriority w:val="9"/>
    <w:rPr>
      <w:rFonts w:ascii="Arial" w:hAnsi="Arial" w:eastAsia="Arial" w:cs="Arial"/>
      <w:i/>
      <w:iCs/>
      <w:sz w:val="21"/>
      <w:szCs w:val="21"/>
    </w:rPr>
  </w:style>
  <w:style w:type="paragraph" w:styleId="770">
    <w:name w:val="No Spacing"/>
    <w:uiPriority w:val="1"/>
    <w:qFormat/>
    <w:pPr>
      <w:spacing w:before="0" w:after="0" w:line="240" w:lineRule="auto"/>
    </w:pPr>
  </w:style>
  <w:style w:type="paragraph" w:styleId="771">
    <w:name w:val="Title"/>
    <w:basedOn w:val="929"/>
    <w:next w:val="929"/>
    <w:link w:val="7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2">
    <w:name w:val="Title Char"/>
    <w:link w:val="771"/>
    <w:uiPriority w:val="10"/>
    <w:rPr>
      <w:sz w:val="48"/>
      <w:szCs w:val="48"/>
    </w:rPr>
  </w:style>
  <w:style w:type="paragraph" w:styleId="773">
    <w:name w:val="Subtitle"/>
    <w:basedOn w:val="929"/>
    <w:next w:val="929"/>
    <w:link w:val="774"/>
    <w:uiPriority w:val="11"/>
    <w:qFormat/>
    <w:pPr>
      <w:spacing w:before="200" w:after="200"/>
    </w:pPr>
    <w:rPr>
      <w:sz w:val="24"/>
      <w:szCs w:val="24"/>
    </w:rPr>
  </w:style>
  <w:style w:type="character" w:styleId="774">
    <w:name w:val="Subtitle Char"/>
    <w:link w:val="773"/>
    <w:uiPriority w:val="11"/>
    <w:rPr>
      <w:sz w:val="24"/>
      <w:szCs w:val="24"/>
    </w:rPr>
  </w:style>
  <w:style w:type="paragraph" w:styleId="775">
    <w:name w:val="Quote"/>
    <w:basedOn w:val="929"/>
    <w:next w:val="929"/>
    <w:link w:val="776"/>
    <w:uiPriority w:val="29"/>
    <w:qFormat/>
    <w:pPr>
      <w:ind w:left="720" w:right="720"/>
    </w:pPr>
    <w:rPr>
      <w:i/>
    </w:rPr>
  </w:style>
  <w:style w:type="character" w:styleId="776">
    <w:name w:val="Quote Char"/>
    <w:link w:val="775"/>
    <w:uiPriority w:val="29"/>
    <w:rPr>
      <w:i/>
    </w:rPr>
  </w:style>
  <w:style w:type="paragraph" w:styleId="777">
    <w:name w:val="Intense Quote"/>
    <w:basedOn w:val="929"/>
    <w:next w:val="929"/>
    <w:link w:val="7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8">
    <w:name w:val="Intense Quote Char"/>
    <w:link w:val="777"/>
    <w:uiPriority w:val="30"/>
    <w:rPr>
      <w:i/>
    </w:rPr>
  </w:style>
  <w:style w:type="paragraph" w:styleId="779">
    <w:name w:val="Header"/>
    <w:basedOn w:val="929"/>
    <w:link w:val="7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0">
    <w:name w:val="Header Char"/>
    <w:link w:val="779"/>
    <w:uiPriority w:val="99"/>
  </w:style>
  <w:style w:type="paragraph" w:styleId="781">
    <w:name w:val="Footer"/>
    <w:basedOn w:val="929"/>
    <w:link w:val="7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2">
    <w:name w:val="Footer Char"/>
    <w:link w:val="781"/>
    <w:uiPriority w:val="99"/>
  </w:style>
  <w:style w:type="paragraph" w:styleId="783">
    <w:name w:val="Caption"/>
    <w:basedOn w:val="929"/>
    <w:next w:val="9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781"/>
    <w:uiPriority w:val="99"/>
  </w:style>
  <w:style w:type="table" w:styleId="78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1">
    <w:name w:val="Hyperlink"/>
    <w:uiPriority w:val="99"/>
    <w:unhideWhenUsed/>
    <w:rPr>
      <w:color w:val="0000ff" w:themeColor="hyperlink"/>
      <w:u w:val="single"/>
    </w:rPr>
  </w:style>
  <w:style w:type="paragraph" w:styleId="912">
    <w:name w:val="footnote text"/>
    <w:basedOn w:val="929"/>
    <w:link w:val="913"/>
    <w:uiPriority w:val="99"/>
    <w:semiHidden/>
    <w:unhideWhenUsed/>
    <w:pPr>
      <w:spacing w:after="40" w:line="240" w:lineRule="auto"/>
    </w:pPr>
    <w:rPr>
      <w:sz w:val="18"/>
    </w:rPr>
  </w:style>
  <w:style w:type="character" w:styleId="913">
    <w:name w:val="Footnote Text Char"/>
    <w:link w:val="912"/>
    <w:uiPriority w:val="99"/>
    <w:rPr>
      <w:sz w:val="18"/>
    </w:rPr>
  </w:style>
  <w:style w:type="character" w:styleId="914">
    <w:name w:val="footnote reference"/>
    <w:uiPriority w:val="99"/>
    <w:unhideWhenUsed/>
    <w:rPr>
      <w:vertAlign w:val="superscript"/>
    </w:rPr>
  </w:style>
  <w:style w:type="paragraph" w:styleId="915">
    <w:name w:val="endnote text"/>
    <w:basedOn w:val="929"/>
    <w:link w:val="916"/>
    <w:uiPriority w:val="99"/>
    <w:semiHidden/>
    <w:unhideWhenUsed/>
    <w:pPr>
      <w:spacing w:after="0" w:line="240" w:lineRule="auto"/>
    </w:pPr>
    <w:rPr>
      <w:sz w:val="20"/>
    </w:rPr>
  </w:style>
  <w:style w:type="character" w:styleId="916">
    <w:name w:val="Endnote Text Char"/>
    <w:link w:val="915"/>
    <w:uiPriority w:val="99"/>
    <w:rPr>
      <w:sz w:val="20"/>
    </w:rPr>
  </w:style>
  <w:style w:type="character" w:styleId="917">
    <w:name w:val="endnote reference"/>
    <w:uiPriority w:val="99"/>
    <w:semiHidden/>
    <w:unhideWhenUsed/>
    <w:rPr>
      <w:vertAlign w:val="superscript"/>
    </w:rPr>
  </w:style>
  <w:style w:type="paragraph" w:styleId="918">
    <w:name w:val="toc 1"/>
    <w:basedOn w:val="929"/>
    <w:next w:val="929"/>
    <w:uiPriority w:val="39"/>
    <w:unhideWhenUsed/>
    <w:pPr>
      <w:ind w:left="0" w:right="0" w:firstLine="0"/>
      <w:spacing w:after="57"/>
    </w:pPr>
  </w:style>
  <w:style w:type="paragraph" w:styleId="919">
    <w:name w:val="toc 2"/>
    <w:basedOn w:val="929"/>
    <w:next w:val="929"/>
    <w:uiPriority w:val="39"/>
    <w:unhideWhenUsed/>
    <w:pPr>
      <w:ind w:left="283" w:right="0" w:firstLine="0"/>
      <w:spacing w:after="57"/>
    </w:pPr>
  </w:style>
  <w:style w:type="paragraph" w:styleId="920">
    <w:name w:val="toc 3"/>
    <w:basedOn w:val="929"/>
    <w:next w:val="929"/>
    <w:uiPriority w:val="39"/>
    <w:unhideWhenUsed/>
    <w:pPr>
      <w:ind w:left="567" w:right="0" w:firstLine="0"/>
      <w:spacing w:after="57"/>
    </w:pPr>
  </w:style>
  <w:style w:type="paragraph" w:styleId="921">
    <w:name w:val="toc 4"/>
    <w:basedOn w:val="929"/>
    <w:next w:val="929"/>
    <w:uiPriority w:val="39"/>
    <w:unhideWhenUsed/>
    <w:pPr>
      <w:ind w:left="850" w:right="0" w:firstLine="0"/>
      <w:spacing w:after="57"/>
    </w:pPr>
  </w:style>
  <w:style w:type="paragraph" w:styleId="922">
    <w:name w:val="toc 5"/>
    <w:basedOn w:val="929"/>
    <w:next w:val="929"/>
    <w:uiPriority w:val="39"/>
    <w:unhideWhenUsed/>
    <w:pPr>
      <w:ind w:left="1134" w:right="0" w:firstLine="0"/>
      <w:spacing w:after="57"/>
    </w:pPr>
  </w:style>
  <w:style w:type="paragraph" w:styleId="923">
    <w:name w:val="toc 6"/>
    <w:basedOn w:val="929"/>
    <w:next w:val="929"/>
    <w:uiPriority w:val="39"/>
    <w:unhideWhenUsed/>
    <w:pPr>
      <w:ind w:left="1417" w:right="0" w:firstLine="0"/>
      <w:spacing w:after="57"/>
    </w:pPr>
  </w:style>
  <w:style w:type="paragraph" w:styleId="924">
    <w:name w:val="toc 7"/>
    <w:basedOn w:val="929"/>
    <w:next w:val="929"/>
    <w:uiPriority w:val="39"/>
    <w:unhideWhenUsed/>
    <w:pPr>
      <w:ind w:left="1701" w:right="0" w:firstLine="0"/>
      <w:spacing w:after="57"/>
    </w:pPr>
  </w:style>
  <w:style w:type="paragraph" w:styleId="925">
    <w:name w:val="toc 8"/>
    <w:basedOn w:val="929"/>
    <w:next w:val="929"/>
    <w:uiPriority w:val="39"/>
    <w:unhideWhenUsed/>
    <w:pPr>
      <w:ind w:left="1984" w:right="0" w:firstLine="0"/>
      <w:spacing w:after="57"/>
    </w:pPr>
  </w:style>
  <w:style w:type="paragraph" w:styleId="926">
    <w:name w:val="toc 9"/>
    <w:basedOn w:val="929"/>
    <w:next w:val="929"/>
    <w:uiPriority w:val="39"/>
    <w:unhideWhenUsed/>
    <w:pPr>
      <w:ind w:left="2268" w:right="0" w:firstLine="0"/>
      <w:spacing w:after="57"/>
    </w:pPr>
  </w:style>
  <w:style w:type="paragraph" w:styleId="927">
    <w:name w:val="TOC Heading"/>
    <w:uiPriority w:val="39"/>
    <w:unhideWhenUsed/>
  </w:style>
  <w:style w:type="paragraph" w:styleId="928">
    <w:name w:val="table of figures"/>
    <w:basedOn w:val="929"/>
    <w:next w:val="929"/>
    <w:uiPriority w:val="99"/>
    <w:unhideWhenUsed/>
    <w:pPr>
      <w:spacing w:after="0" w:afterAutospacing="0"/>
    </w:pPr>
  </w:style>
  <w:style w:type="paragraph" w:styleId="929" w:default="1">
    <w:name w:val="Normal"/>
    <w:next w:val="929"/>
    <w:link w:val="929"/>
    <w:qFormat/>
    <w:rPr>
      <w:lang w:val="ru-RU" w:eastAsia="zh-CN" w:bidi="ar-SA"/>
    </w:rPr>
  </w:style>
  <w:style w:type="character" w:styleId="930">
    <w:name w:val="Основной шрифт абзаца"/>
    <w:next w:val="930"/>
    <w:link w:val="929"/>
    <w:uiPriority w:val="1"/>
    <w:semiHidden/>
    <w:unhideWhenUsed/>
  </w:style>
  <w:style w:type="table" w:styleId="931">
    <w:name w:val="Обычная таблица"/>
    <w:next w:val="931"/>
    <w:link w:val="929"/>
    <w:uiPriority w:val="99"/>
    <w:semiHidden/>
    <w:unhideWhenUsed/>
    <w:tblPr/>
  </w:style>
  <w:style w:type="numbering" w:styleId="932">
    <w:name w:val="Нет списка"/>
    <w:next w:val="932"/>
    <w:link w:val="929"/>
    <w:uiPriority w:val="99"/>
    <w:semiHidden/>
    <w:unhideWhenUsed/>
  </w:style>
  <w:style w:type="character" w:styleId="933">
    <w:name w:val="WW8Num1z0"/>
    <w:next w:val="933"/>
    <w:link w:val="929"/>
    <w:rPr>
      <w:b/>
      <w:sz w:val="20"/>
      <w:szCs w:val="20"/>
    </w:rPr>
  </w:style>
  <w:style w:type="character" w:styleId="934">
    <w:name w:val="WW8Num1z1"/>
    <w:next w:val="934"/>
    <w:link w:val="929"/>
    <w:rPr>
      <w:b w:val="0"/>
      <w:i w:val="0"/>
      <w:sz w:val="24"/>
      <w:szCs w:val="24"/>
    </w:rPr>
  </w:style>
  <w:style w:type="character" w:styleId="935">
    <w:name w:val="WW8Num1z2"/>
    <w:next w:val="935"/>
    <w:link w:val="929"/>
  </w:style>
  <w:style w:type="character" w:styleId="936">
    <w:name w:val="WW8Num2z0"/>
    <w:next w:val="936"/>
    <w:link w:val="929"/>
    <w:rPr>
      <w:rFonts w:ascii="Symbol" w:hAnsi="Symbol" w:cs="StarSymbol"/>
      <w:sz w:val="18"/>
      <w:szCs w:val="18"/>
    </w:rPr>
  </w:style>
  <w:style w:type="character" w:styleId="937">
    <w:name w:val="WW8Num3z0"/>
    <w:next w:val="937"/>
    <w:link w:val="929"/>
    <w:rPr>
      <w:rFonts w:cs="Times New Roman"/>
    </w:rPr>
  </w:style>
  <w:style w:type="character" w:styleId="938">
    <w:name w:val="WW8Num3z1"/>
    <w:next w:val="938"/>
    <w:link w:val="929"/>
    <w:rPr>
      <w:rFonts w:cs="Times New Roman"/>
    </w:rPr>
  </w:style>
  <w:style w:type="character" w:styleId="939">
    <w:name w:val="WW8Num4z0"/>
    <w:next w:val="939"/>
    <w:link w:val="929"/>
    <w:rPr>
      <w:color w:val="000000"/>
    </w:rPr>
  </w:style>
  <w:style w:type="character" w:styleId="940">
    <w:name w:val="WW8Num4z2"/>
    <w:next w:val="940"/>
    <w:link w:val="929"/>
    <w:rPr>
      <w:color w:val="ff0000"/>
    </w:rPr>
  </w:style>
  <w:style w:type="character" w:styleId="941">
    <w:name w:val="WW8Num5z0"/>
    <w:next w:val="941"/>
    <w:link w:val="929"/>
  </w:style>
  <w:style w:type="character" w:styleId="942">
    <w:name w:val="WW8Num5z2"/>
    <w:next w:val="942"/>
    <w:link w:val="929"/>
    <w:rPr>
      <w:b w:val="0"/>
      <w:i w:val="0"/>
      <w:sz w:val="20"/>
      <w:szCs w:val="20"/>
    </w:rPr>
  </w:style>
  <w:style w:type="character" w:styleId="943">
    <w:name w:val="WW8Num6z0"/>
    <w:next w:val="943"/>
    <w:link w:val="929"/>
  </w:style>
  <w:style w:type="character" w:styleId="944">
    <w:name w:val="WW8Num6z2"/>
    <w:next w:val="944"/>
    <w:link w:val="929"/>
    <w:rPr>
      <w:b w:val="0"/>
      <w:i w:val="0"/>
      <w:sz w:val="20"/>
      <w:szCs w:val="20"/>
    </w:rPr>
  </w:style>
  <w:style w:type="character" w:styleId="945">
    <w:name w:val="WW8Num7z0"/>
    <w:next w:val="945"/>
    <w:link w:val="929"/>
  </w:style>
  <w:style w:type="character" w:styleId="946">
    <w:name w:val="WW8Num8z0"/>
    <w:next w:val="946"/>
    <w:link w:val="929"/>
  </w:style>
  <w:style w:type="character" w:styleId="947">
    <w:name w:val="WW8Num9z0"/>
    <w:next w:val="947"/>
    <w:link w:val="929"/>
  </w:style>
  <w:style w:type="character" w:styleId="948">
    <w:name w:val="WW8Num10z0"/>
    <w:next w:val="948"/>
    <w:link w:val="929"/>
  </w:style>
  <w:style w:type="character" w:styleId="949">
    <w:name w:val="WW8Num11z0"/>
    <w:next w:val="949"/>
    <w:link w:val="929"/>
  </w:style>
  <w:style w:type="character" w:styleId="950">
    <w:name w:val="WW8Num12z0"/>
    <w:next w:val="950"/>
    <w:link w:val="929"/>
  </w:style>
  <w:style w:type="character" w:styleId="951">
    <w:name w:val="WW8Num13z0"/>
    <w:next w:val="951"/>
    <w:link w:val="929"/>
  </w:style>
  <w:style w:type="character" w:styleId="952">
    <w:name w:val="WW8Num14z0"/>
    <w:next w:val="952"/>
    <w:link w:val="929"/>
  </w:style>
  <w:style w:type="character" w:styleId="953">
    <w:name w:val="WW8Num15z0"/>
    <w:next w:val="953"/>
    <w:link w:val="929"/>
    <w:rPr>
      <w:rFonts w:ascii="Symbol" w:hAnsi="Symbol" w:cs="Symbol"/>
      <w:sz w:val="20"/>
    </w:rPr>
  </w:style>
  <w:style w:type="character" w:styleId="954">
    <w:name w:val="WW8Num15z1"/>
    <w:next w:val="954"/>
    <w:link w:val="929"/>
    <w:rPr>
      <w:rFonts w:ascii="Courier New" w:hAnsi="Courier New" w:cs="Courier New"/>
      <w:sz w:val="20"/>
    </w:rPr>
  </w:style>
  <w:style w:type="character" w:styleId="955">
    <w:name w:val="WW8Num15z2"/>
    <w:next w:val="955"/>
    <w:link w:val="929"/>
    <w:rPr>
      <w:rFonts w:ascii="Wingdings" w:hAnsi="Wingdings" w:cs="Wingdings"/>
      <w:sz w:val="20"/>
    </w:rPr>
  </w:style>
  <w:style w:type="character" w:styleId="956">
    <w:name w:val="WW8Num16z0"/>
    <w:next w:val="956"/>
    <w:link w:val="929"/>
  </w:style>
  <w:style w:type="character" w:styleId="957">
    <w:name w:val="WW8Num17z0"/>
    <w:next w:val="957"/>
    <w:link w:val="929"/>
  </w:style>
  <w:style w:type="character" w:styleId="958">
    <w:name w:val="WW8Num18z0"/>
    <w:next w:val="958"/>
    <w:link w:val="929"/>
  </w:style>
  <w:style w:type="character" w:styleId="959">
    <w:name w:val="WW8Num19z0"/>
    <w:next w:val="959"/>
    <w:link w:val="929"/>
    <w:rPr>
      <w:rFonts w:ascii="Symbol" w:hAnsi="Symbol" w:cs="Symbol"/>
    </w:rPr>
  </w:style>
  <w:style w:type="character" w:styleId="960">
    <w:name w:val="WW8Num19z1"/>
    <w:next w:val="960"/>
    <w:link w:val="929"/>
    <w:rPr>
      <w:rFonts w:ascii="Courier New" w:hAnsi="Courier New" w:cs="Courier New"/>
    </w:rPr>
  </w:style>
  <w:style w:type="character" w:styleId="961">
    <w:name w:val="WW8Num19z2"/>
    <w:next w:val="961"/>
    <w:link w:val="929"/>
    <w:rPr>
      <w:rFonts w:ascii="Wingdings" w:hAnsi="Wingdings" w:cs="Wingdings"/>
    </w:rPr>
  </w:style>
  <w:style w:type="character" w:styleId="962">
    <w:name w:val="WW8Num20z0"/>
    <w:next w:val="962"/>
    <w:link w:val="929"/>
  </w:style>
  <w:style w:type="character" w:styleId="963">
    <w:name w:val="WW8Num21z0"/>
    <w:next w:val="963"/>
    <w:link w:val="929"/>
  </w:style>
  <w:style w:type="character" w:styleId="964">
    <w:name w:val="WW8Num21z2"/>
    <w:next w:val="964"/>
    <w:link w:val="929"/>
    <w:rPr>
      <w:i w:val="0"/>
    </w:rPr>
  </w:style>
  <w:style w:type="character" w:styleId="965">
    <w:name w:val="WW8Num22z0"/>
    <w:next w:val="965"/>
    <w:link w:val="929"/>
  </w:style>
  <w:style w:type="character" w:styleId="966">
    <w:name w:val="WW8Num23z0"/>
    <w:next w:val="966"/>
    <w:link w:val="929"/>
  </w:style>
  <w:style w:type="character" w:styleId="967">
    <w:name w:val="WW8Num24z0"/>
    <w:next w:val="967"/>
    <w:link w:val="929"/>
    <w:rPr>
      <w:i w:val="0"/>
    </w:rPr>
  </w:style>
  <w:style w:type="character" w:styleId="968">
    <w:name w:val="WW8Num25z0"/>
    <w:next w:val="968"/>
    <w:link w:val="929"/>
    <w:rPr>
      <w:rFonts w:ascii="Calibri" w:hAnsi="Calibri" w:cs="Calibri"/>
      <w:sz w:val="22"/>
    </w:rPr>
  </w:style>
  <w:style w:type="character" w:styleId="969">
    <w:name w:val="WW8Num26z0"/>
    <w:next w:val="969"/>
    <w:link w:val="929"/>
  </w:style>
  <w:style w:type="character" w:styleId="970">
    <w:name w:val="WW8Num27z0"/>
    <w:next w:val="970"/>
    <w:link w:val="929"/>
  </w:style>
  <w:style w:type="character" w:styleId="971">
    <w:name w:val="WW8Num28z0"/>
    <w:next w:val="971"/>
    <w:link w:val="929"/>
    <w:rPr>
      <w:rFonts w:ascii="Symbol" w:hAnsi="Symbol" w:cs="Symbol"/>
      <w:sz w:val="24"/>
      <w:szCs w:val="24"/>
    </w:rPr>
  </w:style>
  <w:style w:type="character" w:styleId="972">
    <w:name w:val="WW8Num28z1"/>
    <w:next w:val="972"/>
    <w:link w:val="929"/>
    <w:rPr>
      <w:rFonts w:ascii="Symbol" w:hAnsi="Symbol" w:cs="Symbol"/>
    </w:rPr>
  </w:style>
  <w:style w:type="character" w:styleId="973">
    <w:name w:val="WW8Num29z0"/>
    <w:next w:val="973"/>
    <w:link w:val="929"/>
  </w:style>
  <w:style w:type="character" w:styleId="974">
    <w:name w:val="WW8Num30z0"/>
    <w:next w:val="974"/>
    <w:link w:val="929"/>
  </w:style>
  <w:style w:type="character" w:styleId="975">
    <w:name w:val="WW8Num31z0"/>
    <w:next w:val="975"/>
    <w:link w:val="929"/>
  </w:style>
  <w:style w:type="character" w:styleId="976">
    <w:name w:val="WW8Num32z0"/>
    <w:next w:val="976"/>
    <w:link w:val="929"/>
  </w:style>
  <w:style w:type="character" w:styleId="977">
    <w:name w:val="WW8Num33z0"/>
    <w:next w:val="977"/>
    <w:link w:val="929"/>
    <w:rPr>
      <w:rFonts w:ascii="Calibri" w:hAnsi="Calibri" w:cs="Calibri"/>
      <w:sz w:val="22"/>
    </w:rPr>
  </w:style>
  <w:style w:type="character" w:styleId="978">
    <w:name w:val="WW8Num34z0"/>
    <w:next w:val="978"/>
    <w:link w:val="929"/>
  </w:style>
  <w:style w:type="character" w:styleId="979">
    <w:name w:val="WW8Num35z0"/>
    <w:next w:val="979"/>
    <w:link w:val="929"/>
  </w:style>
  <w:style w:type="character" w:styleId="980">
    <w:name w:val="WW8Num35z2"/>
    <w:next w:val="980"/>
    <w:link w:val="929"/>
    <w:rPr>
      <w:i w:val="0"/>
    </w:rPr>
  </w:style>
  <w:style w:type="character" w:styleId="981">
    <w:name w:val="WW8Num36z0"/>
    <w:next w:val="981"/>
    <w:link w:val="929"/>
  </w:style>
  <w:style w:type="character" w:styleId="982">
    <w:name w:val="WW8Num37z0"/>
    <w:next w:val="982"/>
    <w:link w:val="929"/>
  </w:style>
  <w:style w:type="character" w:styleId="983">
    <w:name w:val="WW8Num38z0"/>
    <w:next w:val="983"/>
    <w:link w:val="929"/>
  </w:style>
  <w:style w:type="character" w:styleId="984">
    <w:name w:val="WW8Num39z0"/>
    <w:next w:val="984"/>
    <w:link w:val="929"/>
    <w:rPr>
      <w:i w:val="0"/>
    </w:rPr>
  </w:style>
  <w:style w:type="character" w:styleId="985">
    <w:name w:val="WW8Num40z0"/>
    <w:next w:val="985"/>
    <w:link w:val="929"/>
  </w:style>
  <w:style w:type="character" w:styleId="986">
    <w:name w:val="WW8Num41z0"/>
    <w:next w:val="986"/>
    <w:link w:val="929"/>
  </w:style>
  <w:style w:type="character" w:styleId="987">
    <w:name w:val="WW8Num42z0"/>
    <w:next w:val="987"/>
    <w:link w:val="929"/>
  </w:style>
  <w:style w:type="character" w:styleId="988">
    <w:name w:val="WW8Num43z0"/>
    <w:next w:val="988"/>
    <w:link w:val="929"/>
  </w:style>
  <w:style w:type="character" w:styleId="989">
    <w:name w:val="WW8Num44z0"/>
    <w:next w:val="989"/>
    <w:link w:val="929"/>
    <w:rPr>
      <w:i w:val="0"/>
    </w:rPr>
  </w:style>
  <w:style w:type="character" w:styleId="990">
    <w:name w:val="WW8Num44z1"/>
    <w:next w:val="990"/>
    <w:link w:val="929"/>
  </w:style>
  <w:style w:type="character" w:styleId="991">
    <w:name w:val="WW8Num44z2"/>
    <w:next w:val="991"/>
    <w:link w:val="929"/>
    <w:rPr>
      <w:b w:val="0"/>
      <w:i w:val="0"/>
      <w:color w:val="000000"/>
      <w:sz w:val="20"/>
      <w:szCs w:val="20"/>
    </w:rPr>
  </w:style>
  <w:style w:type="character" w:styleId="992">
    <w:name w:val="WW8Num45z0"/>
    <w:next w:val="992"/>
    <w:link w:val="929"/>
  </w:style>
  <w:style w:type="character" w:styleId="993">
    <w:name w:val="WW8Num45z2"/>
    <w:next w:val="993"/>
    <w:link w:val="929"/>
    <w:rPr>
      <w:b w:val="0"/>
      <w:i w:val="0"/>
      <w:color w:val="000000"/>
      <w:sz w:val="20"/>
      <w:szCs w:val="20"/>
    </w:rPr>
  </w:style>
  <w:style w:type="character" w:styleId="994">
    <w:name w:val="WW8Num46z0"/>
    <w:next w:val="994"/>
    <w:link w:val="929"/>
  </w:style>
  <w:style w:type="character" w:styleId="995">
    <w:name w:val="WW8Num46z2"/>
    <w:next w:val="995"/>
    <w:link w:val="929"/>
    <w:rPr>
      <w:b w:val="0"/>
      <w:i w:val="0"/>
      <w:color w:val="000000"/>
      <w:sz w:val="20"/>
      <w:szCs w:val="20"/>
    </w:rPr>
  </w:style>
  <w:style w:type="character" w:styleId="996">
    <w:name w:val="WW8Num47z0"/>
    <w:next w:val="996"/>
    <w:link w:val="929"/>
  </w:style>
  <w:style w:type="character" w:styleId="997">
    <w:name w:val="WW8Num48z0"/>
    <w:next w:val="997"/>
    <w:link w:val="929"/>
  </w:style>
  <w:style w:type="character" w:styleId="998">
    <w:name w:val="WW8Num48z2"/>
    <w:next w:val="998"/>
    <w:link w:val="929"/>
    <w:rPr>
      <w:b w:val="0"/>
      <w:i w:val="0"/>
      <w:sz w:val="20"/>
      <w:szCs w:val="20"/>
    </w:rPr>
  </w:style>
  <w:style w:type="character" w:styleId="999">
    <w:name w:val="WW8Num49z0"/>
    <w:next w:val="999"/>
    <w:link w:val="929"/>
  </w:style>
  <w:style w:type="character" w:styleId="1000">
    <w:name w:val="WW8Num50z0"/>
    <w:next w:val="1000"/>
    <w:link w:val="929"/>
  </w:style>
  <w:style w:type="character" w:styleId="1001">
    <w:name w:val="Основной шрифт абзаца1"/>
    <w:next w:val="1001"/>
    <w:link w:val="929"/>
  </w:style>
  <w:style w:type="character" w:styleId="1002">
    <w:name w:val="Номер страницы"/>
    <w:basedOn w:val="1001"/>
    <w:next w:val="1002"/>
    <w:link w:val="929"/>
  </w:style>
  <w:style w:type="character" w:styleId="1003">
    <w:name w:val="Гиперссылка"/>
    <w:next w:val="1003"/>
    <w:link w:val="929"/>
    <w:rPr>
      <w:color w:val="0000ff"/>
      <w:u w:val="single"/>
    </w:rPr>
  </w:style>
  <w:style w:type="character" w:styleId="1004">
    <w:name w:val="Знак примечания1"/>
    <w:next w:val="1004"/>
    <w:link w:val="929"/>
    <w:rPr>
      <w:sz w:val="16"/>
      <w:szCs w:val="16"/>
    </w:rPr>
  </w:style>
  <w:style w:type="character" w:styleId="1005">
    <w:name w:val="highlight highlight_active"/>
    <w:basedOn w:val="1001"/>
    <w:next w:val="1005"/>
    <w:link w:val="929"/>
  </w:style>
  <w:style w:type="character" w:styleId="1006">
    <w:name w:val="Текст примечания Знак"/>
    <w:next w:val="1006"/>
    <w:link w:val="929"/>
  </w:style>
  <w:style w:type="character" w:styleId="1007">
    <w:name w:val="Основной текст с отступом Знак"/>
    <w:next w:val="1007"/>
    <w:link w:val="929"/>
  </w:style>
  <w:style w:type="character" w:styleId="1008">
    <w:name w:val="Номер строки"/>
    <w:next w:val="1008"/>
    <w:link w:val="929"/>
  </w:style>
  <w:style w:type="paragraph" w:styleId="1009">
    <w:name w:val="Заголовок"/>
    <w:basedOn w:val="929"/>
    <w:next w:val="1010"/>
    <w:link w:val="929"/>
    <w:pPr>
      <w:ind w:left="0" w:right="-335" w:firstLine="0"/>
      <w:jc w:val="center"/>
    </w:pPr>
    <w:rPr>
      <w:b/>
    </w:rPr>
  </w:style>
  <w:style w:type="paragraph" w:styleId="1010">
    <w:name w:val="Основной текст"/>
    <w:basedOn w:val="929"/>
    <w:next w:val="1010"/>
    <w:link w:val="929"/>
    <w:pPr>
      <w:spacing w:before="0" w:after="120"/>
    </w:pPr>
  </w:style>
  <w:style w:type="paragraph" w:styleId="1011">
    <w:name w:val="Список"/>
    <w:basedOn w:val="1010"/>
    <w:next w:val="1011"/>
    <w:link w:val="929"/>
    <w:rPr>
      <w:rFonts w:ascii="PT Astra Serif" w:hAnsi="PT Astra Serif" w:cs="Noto Sans Devanagari"/>
    </w:rPr>
  </w:style>
  <w:style w:type="paragraph" w:styleId="1012">
    <w:name w:val="Название объекта"/>
    <w:basedOn w:val="929"/>
    <w:next w:val="1012"/>
    <w:link w:val="929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1013">
    <w:name w:val="Указатель1"/>
    <w:basedOn w:val="929"/>
    <w:next w:val="1013"/>
    <w:link w:val="929"/>
    <w:pPr>
      <w:suppressLineNumbers/>
    </w:pPr>
    <w:rPr>
      <w:rFonts w:ascii="PT Astra Serif" w:hAnsi="PT Astra Serif" w:cs="Noto Sans Devanagari"/>
    </w:rPr>
  </w:style>
  <w:style w:type="paragraph" w:styleId="1014">
    <w:name w:val="Колонтитул"/>
    <w:basedOn w:val="929"/>
    <w:next w:val="1014"/>
    <w:link w:val="929"/>
    <w:pPr>
      <w:tabs>
        <w:tab w:val="center" w:pos="4819" w:leader="none"/>
        <w:tab w:val="right" w:pos="9638" w:leader="none"/>
      </w:tabs>
      <w:suppressLineNumbers/>
    </w:pPr>
  </w:style>
  <w:style w:type="paragraph" w:styleId="1015">
    <w:name w:val="Верхний колонтитул"/>
    <w:basedOn w:val="929"/>
    <w:next w:val="1015"/>
    <w:link w:val="929"/>
    <w:pPr>
      <w:tabs>
        <w:tab w:val="center" w:pos="4153" w:leader="none"/>
        <w:tab w:val="right" w:pos="8306" w:leader="none"/>
      </w:tabs>
    </w:pPr>
  </w:style>
  <w:style w:type="paragraph" w:styleId="1016">
    <w:name w:val="Нижний колонтитул"/>
    <w:basedOn w:val="929"/>
    <w:next w:val="1016"/>
    <w:link w:val="929"/>
    <w:pPr>
      <w:tabs>
        <w:tab w:val="center" w:pos="4153" w:leader="none"/>
        <w:tab w:val="right" w:pos="8306" w:leader="none"/>
      </w:tabs>
    </w:pPr>
  </w:style>
  <w:style w:type="paragraph" w:styleId="1017">
    <w:name w:val="Основной текст с отступом"/>
    <w:basedOn w:val="929"/>
    <w:next w:val="1017"/>
    <w:link w:val="929"/>
    <w:pPr>
      <w:ind w:left="0" w:right="-1" w:firstLine="567"/>
      <w:jc w:val="both"/>
    </w:pPr>
  </w:style>
  <w:style w:type="paragraph" w:styleId="1018">
    <w:name w:val="Основной текст с отступом 21"/>
    <w:basedOn w:val="929"/>
    <w:next w:val="1018"/>
    <w:link w:val="929"/>
    <w:pPr>
      <w:ind w:left="0" w:right="-1" w:firstLine="567"/>
      <w:jc w:val="both"/>
    </w:pPr>
    <w:rPr>
      <w:color w:val="0000ff"/>
    </w:rPr>
  </w:style>
  <w:style w:type="paragraph" w:styleId="1019">
    <w:name w:val="Основной текст с отступом 31"/>
    <w:basedOn w:val="929"/>
    <w:next w:val="1019"/>
    <w:link w:val="929"/>
    <w:pPr>
      <w:ind w:left="567" w:right="0" w:firstLine="426"/>
      <w:jc w:val="both"/>
      <w:spacing w:line="220" w:lineRule="exact"/>
    </w:pPr>
  </w:style>
  <w:style w:type="paragraph" w:styleId="1020">
    <w:name w:val="Текст выноски"/>
    <w:basedOn w:val="929"/>
    <w:next w:val="1020"/>
    <w:link w:val="929"/>
    <w:rPr>
      <w:rFonts w:ascii="Tahoma" w:hAnsi="Tahoma" w:cs="Tahoma"/>
      <w:sz w:val="16"/>
      <w:szCs w:val="16"/>
    </w:rPr>
  </w:style>
  <w:style w:type="paragraph" w:styleId="1021">
    <w:name w:val="LO-Normal"/>
    <w:next w:val="1021"/>
    <w:link w:val="929"/>
    <w:pPr>
      <w:widowControl w:val="off"/>
      <w:suppressLineNumbers/>
    </w:pPr>
    <w:rPr>
      <w:lang w:val="ru-RU" w:eastAsia="zh-CN" w:bidi="ar-SA"/>
    </w:rPr>
  </w:style>
  <w:style w:type="paragraph" w:styleId="1022">
    <w:name w:val="Iniiaiie oaeno io?aoa"/>
    <w:next w:val="1022"/>
    <w:link w:val="929"/>
    <w:pPr>
      <w:ind w:firstLine="720"/>
      <w:jc w:val="both"/>
      <w:spacing w:line="240" w:lineRule="atLeast"/>
      <w:widowControl w:val="off"/>
    </w:pPr>
    <w:rPr>
      <w:sz w:val="24"/>
      <w:szCs w:val="24"/>
      <w:lang w:val="en-US" w:eastAsia="zh-CN" w:bidi="ar-SA"/>
    </w:rPr>
  </w:style>
  <w:style w:type="paragraph" w:styleId="1023">
    <w:name w:val="Стандартный HTML"/>
    <w:basedOn w:val="929"/>
    <w:next w:val="1023"/>
    <w:link w:val="929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00"/>
    </w:rPr>
  </w:style>
  <w:style w:type="paragraph" w:styleId="1024">
    <w:name w:val="Оглавление 1"/>
    <w:basedOn w:val="929"/>
    <w:next w:val="929"/>
    <w:link w:val="929"/>
  </w:style>
  <w:style w:type="paragraph" w:styleId="1025">
    <w:name w:val=" Знак"/>
    <w:basedOn w:val="929"/>
    <w:next w:val="1025"/>
    <w:link w:val="929"/>
    <w:pPr>
      <w:ind w:left="390" w:right="0" w:hanging="390"/>
      <w:jc w:val="both"/>
      <w:spacing w:before="0" w:after="160" w:line="240" w:lineRule="exact"/>
      <w:tabs>
        <w:tab w:val="left" w:pos="390" w:leader="none"/>
      </w:tabs>
    </w:pPr>
    <w:rPr>
      <w:rFonts w:ascii="Verdana" w:hAnsi="Verdana" w:cs="Arial"/>
      <w:lang w:val="en-US"/>
    </w:rPr>
  </w:style>
  <w:style w:type="paragraph" w:styleId="1026">
    <w:name w:val=" Знак1"/>
    <w:basedOn w:val="929"/>
    <w:next w:val="1026"/>
    <w:link w:val="929"/>
    <w:pPr>
      <w:ind w:left="390" w:right="0" w:hanging="390"/>
      <w:jc w:val="both"/>
      <w:spacing w:before="0" w:after="160" w:line="240" w:lineRule="exact"/>
      <w:tabs>
        <w:tab w:val="left" w:pos="390" w:leader="none"/>
      </w:tabs>
    </w:pPr>
    <w:rPr>
      <w:rFonts w:ascii="Verdana" w:hAnsi="Verdana" w:cs="Arial"/>
      <w:lang w:val="en-US"/>
    </w:rPr>
  </w:style>
  <w:style w:type="paragraph" w:styleId="1027">
    <w:name w:val="Текст примечания1"/>
    <w:basedOn w:val="929"/>
    <w:next w:val="1027"/>
    <w:link w:val="929"/>
  </w:style>
  <w:style w:type="paragraph" w:styleId="1028">
    <w:name w:val="Тема примечания"/>
    <w:basedOn w:val="1027"/>
    <w:next w:val="1027"/>
    <w:link w:val="929"/>
    <w:rPr>
      <w:b/>
      <w:bCs/>
    </w:rPr>
  </w:style>
  <w:style w:type="paragraph" w:styleId="1029">
    <w:name w:val="List Paragraph"/>
    <w:basedOn w:val="929"/>
    <w:next w:val="1029"/>
    <w:link w:val="929"/>
    <w:pPr>
      <w:contextualSpacing/>
      <w:ind w:left="720" w:right="0" w:firstLine="0"/>
      <w:spacing w:before="0" w:after="200" w:line="276" w:lineRule="auto"/>
    </w:pPr>
    <w:rPr>
      <w:rFonts w:ascii="Calibri" w:hAnsi="Calibri" w:cs="Calibri"/>
      <w:sz w:val="22"/>
      <w:szCs w:val="22"/>
    </w:rPr>
  </w:style>
  <w:style w:type="paragraph" w:styleId="1030">
    <w:name w:val="Обычный (веб)"/>
    <w:basedOn w:val="929"/>
    <w:next w:val="1030"/>
    <w:link w:val="929"/>
    <w:pPr>
      <w:spacing w:before="100" w:after="100"/>
    </w:pPr>
    <w:rPr>
      <w:sz w:val="24"/>
      <w:szCs w:val="24"/>
    </w:rPr>
  </w:style>
  <w:style w:type="paragraph" w:styleId="1031">
    <w:name w:val="ConsPlusNormal"/>
    <w:next w:val="1031"/>
    <w:link w:val="929"/>
    <w:rPr>
      <w:rFonts w:ascii="Arial" w:hAnsi="Arial" w:cs="Arial"/>
      <w:lang w:val="ru-RU" w:eastAsia="zh-CN" w:bidi="ar-SA"/>
    </w:rPr>
  </w:style>
  <w:style w:type="paragraph" w:styleId="1032">
    <w:name w:val="Содержимое таблицы"/>
    <w:basedOn w:val="929"/>
    <w:next w:val="1032"/>
    <w:link w:val="929"/>
    <w:pPr>
      <w:widowControl w:val="off"/>
      <w:suppressLineNumbers/>
    </w:pPr>
  </w:style>
  <w:style w:type="paragraph" w:styleId="1033">
    <w:name w:val="Заголовок таблицы"/>
    <w:basedOn w:val="1032"/>
    <w:next w:val="1033"/>
    <w:link w:val="929"/>
    <w:pPr>
      <w:jc w:val="center"/>
      <w:suppressLineNumbers/>
    </w:pPr>
    <w:rPr>
      <w:b/>
      <w:bCs/>
    </w:rPr>
  </w:style>
  <w:style w:type="character" w:styleId="1034" w:default="1">
    <w:name w:val="Default Paragraph Font"/>
    <w:uiPriority w:val="1"/>
    <w:semiHidden/>
    <w:unhideWhenUsed/>
  </w:style>
  <w:style w:type="numbering" w:styleId="1035" w:default="1">
    <w:name w:val="No List"/>
    <w:uiPriority w:val="99"/>
    <w:semiHidden/>
    <w:unhideWhenUsed/>
  </w:style>
  <w:style w:type="table" w:styleId="1036" w:default="1">
    <w:name w:val="Normal Table"/>
    <w:uiPriority w:val="99"/>
    <w:semiHidden/>
    <w:unhideWhenUsed/>
    <w:tblPr/>
  </w:style>
  <w:style w:type="paragraph" w:styleId="1037" w:customStyle="1">
    <w:name w:val="Название"/>
    <w:basedOn w:val="950"/>
    <w:qFormat/>
    <w:pPr>
      <w:contextualSpacing w:val="0"/>
      <w:ind w:left="0" w:right="-335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38" w:customStyle="1">
    <w:name w:val="Абзац списка1"/>
    <w:basedOn w:val="950"/>
    <w:pPr>
      <w:contextualSpacing/>
      <w:ind w:left="72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ЭЛЕКТРОСНАБЖЕНИЯ</dc:title>
  <dc:creator>user</dc:creator>
  <cp:revision>12</cp:revision>
  <dcterms:created xsi:type="dcterms:W3CDTF">2024-11-14T09:43:00Z</dcterms:created>
  <dcterms:modified xsi:type="dcterms:W3CDTF">2025-05-15T06:39:40Z</dcterms:modified>
  <cp:version>1048576</cp:version>
</cp:coreProperties>
</file>